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62BA" w14:textId="2A3B2C5C" w:rsidR="007C6B13" w:rsidRDefault="007C6B13" w:rsidP="00CF5A0E">
      <w:pPr>
        <w:pStyle w:val="NoteLevel1"/>
        <w:rPr>
          <w:b/>
        </w:rPr>
      </w:pPr>
      <w:r>
        <w:rPr>
          <w:b/>
          <w:noProof/>
          <w:lang w:val="en-US" w:eastAsia="en-US"/>
        </w:rPr>
        <w:drawing>
          <wp:anchor distT="0" distB="0" distL="114300" distR="114300" simplePos="0" relativeHeight="251661312" behindDoc="0" locked="0" layoutInCell="1" allowOverlap="1" wp14:anchorId="50CA2B32" wp14:editId="3B219B84">
            <wp:simplePos x="0" y="0"/>
            <wp:positionH relativeFrom="column">
              <wp:posOffset>1028700</wp:posOffset>
            </wp:positionH>
            <wp:positionV relativeFrom="paragraph">
              <wp:posOffset>-685800</wp:posOffset>
            </wp:positionV>
            <wp:extent cx="3771900" cy="11906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 transparente.png"/>
                    <pic:cNvPicPr/>
                  </pic:nvPicPr>
                  <pic:blipFill>
                    <a:blip r:embed="rId9">
                      <a:extLst>
                        <a:ext uri="{28A0092B-C50C-407E-A947-70E740481C1C}">
                          <a14:useLocalDpi xmlns:a14="http://schemas.microsoft.com/office/drawing/2010/main" val="0"/>
                        </a:ext>
                      </a:extLst>
                    </a:blip>
                    <a:stretch>
                      <a:fillRect/>
                    </a:stretch>
                  </pic:blipFill>
                  <pic:spPr>
                    <a:xfrm>
                      <a:off x="0" y="0"/>
                      <a:ext cx="3771900" cy="1190625"/>
                    </a:xfrm>
                    <a:prstGeom prst="rect">
                      <a:avLst/>
                    </a:prstGeom>
                  </pic:spPr>
                </pic:pic>
              </a:graphicData>
            </a:graphic>
            <wp14:sizeRelH relativeFrom="page">
              <wp14:pctWidth>0</wp14:pctWidth>
            </wp14:sizeRelH>
            <wp14:sizeRelV relativeFrom="page">
              <wp14:pctHeight>0</wp14:pctHeight>
            </wp14:sizeRelV>
          </wp:anchor>
        </w:drawing>
      </w:r>
    </w:p>
    <w:p w14:paraId="2FBD69BD" w14:textId="77777777" w:rsidR="007C6B13" w:rsidRDefault="007C6B13" w:rsidP="00CF5A0E">
      <w:pPr>
        <w:pStyle w:val="NoteLevel1"/>
        <w:rPr>
          <w:b/>
        </w:rPr>
      </w:pPr>
    </w:p>
    <w:p w14:paraId="10ED381A" w14:textId="77777777" w:rsidR="00DD3D89" w:rsidRDefault="00DD3D89" w:rsidP="00DD3D89">
      <w:pPr>
        <w:rPr>
          <w:b/>
        </w:rPr>
      </w:pPr>
    </w:p>
    <w:p w14:paraId="7A722D1D" w14:textId="69EB44D1" w:rsidR="00DD3D89" w:rsidRDefault="00DD3D89" w:rsidP="00DD3D89">
      <w:r>
        <w:rPr>
          <w:b/>
        </w:rPr>
        <w:t xml:space="preserve">El Programa </w:t>
      </w:r>
      <w:r w:rsidR="00630305" w:rsidRPr="008E0C6C">
        <w:rPr>
          <w:b/>
        </w:rPr>
        <w:t>de Actualización Económica</w:t>
      </w:r>
      <w:r w:rsidR="00630305" w:rsidRPr="008E0C6C">
        <w:t xml:space="preserve"> </w:t>
      </w:r>
      <w:r w:rsidR="007340E7" w:rsidRPr="008E0C6C">
        <w:t>estuvo compuesto</w:t>
      </w:r>
      <w:r w:rsidR="005E6B1B">
        <w:t xml:space="preserve"> por dos partes,</w:t>
      </w:r>
      <w:r w:rsidR="005B0BB3" w:rsidRPr="008E0C6C">
        <w:t xml:space="preserve"> </w:t>
      </w:r>
      <w:r w:rsidR="005E6B1B">
        <w:t xml:space="preserve">la primera  a cargo del Dr. Luis </w:t>
      </w:r>
      <w:proofErr w:type="spellStart"/>
      <w:r w:rsidR="005E6B1B">
        <w:t>Mesalles</w:t>
      </w:r>
      <w:proofErr w:type="spellEnd"/>
      <w:r w:rsidR="00860ED0">
        <w:t xml:space="preserve"> y el MSc. Alberto Franco</w:t>
      </w:r>
      <w:r w:rsidR="00C80B5B">
        <w:t>,</w:t>
      </w:r>
      <w:r w:rsidR="00860ED0">
        <w:t xml:space="preserve"> </w:t>
      </w:r>
      <w:r w:rsidR="00C80B5B">
        <w:t>ambos socios consultores de Ecoanálisis. L</w:t>
      </w:r>
      <w:r w:rsidR="00860ED0">
        <w:t xml:space="preserve">a segunda  a cargo del Dr.  Jorge Vargas </w:t>
      </w:r>
      <w:proofErr w:type="spellStart"/>
      <w:r w:rsidR="00860ED0">
        <w:t>Cullel</w:t>
      </w:r>
      <w:proofErr w:type="spellEnd"/>
      <w:r w:rsidR="00860ED0">
        <w:t>, Director del Programa Estado de la Nación  y el MSc. Eduardo Prado, Gerente del BCCR.</w:t>
      </w:r>
    </w:p>
    <w:p w14:paraId="024AD722" w14:textId="39FA0C60" w:rsidR="00DD3D89" w:rsidRDefault="00DD3D89" w:rsidP="00DD3D89">
      <w:r w:rsidRPr="00F3174C">
        <w:rPr>
          <w:b/>
        </w:rPr>
        <w:t>El MSc. Alberto Franco se encargo de hacer la actualización Internacional</w:t>
      </w:r>
      <w:r>
        <w:t>,</w:t>
      </w:r>
      <w:r w:rsidR="00F3174C">
        <w:t xml:space="preserve"> </w:t>
      </w:r>
      <w:r w:rsidR="00890792">
        <w:t>para esto inicio ha</w:t>
      </w:r>
      <w:r>
        <w:t xml:space="preserve">ciendo un análisis del crecimiento económico de los Estados Unidos desde 2004  hasta  el 2014, para este último año el crecimiento fue de 2.4 </w:t>
      </w:r>
      <w:r w:rsidR="00890792">
        <w:t>%</w:t>
      </w:r>
      <w:r>
        <w:t xml:space="preserve">, por encima del promedio de la década el cual se ubicó en 1,7 </w:t>
      </w:r>
      <w:r w:rsidR="00890792">
        <w:t>%</w:t>
      </w:r>
      <w:r>
        <w:t>. No obstante, este crecimiento no ha sido uniforme en todos los estados y de ahí la importancia de analizar casos particulares como California (2,8%) y Texas (5,2%), los cuáles tienen una economía de tamaño si</w:t>
      </w:r>
      <w:r w:rsidR="00890792">
        <w:t>milar a algunos países europeos.</w:t>
      </w:r>
    </w:p>
    <w:p w14:paraId="0C2BDCA4" w14:textId="77777777" w:rsidR="00DD3D89" w:rsidRDefault="00DD3D89" w:rsidP="00DD3D89">
      <w:r>
        <w:t>Para 2015, la economía estadounidense presenta una leve recuperación en el segundo trimestre con un crecimiento interanual de 2,3%, superior al del primer trimestre de 0,6%, impulsado principalmente por una reactivación del consumo privado. Debido a este comportamiento de la economía el desempleo disminuye y se ubica en 5,3% .</w:t>
      </w:r>
    </w:p>
    <w:p w14:paraId="09BC3648" w14:textId="5318D9BA" w:rsidR="00DD3D89" w:rsidRDefault="00DD3D89" w:rsidP="00DD3D89">
      <w:r>
        <w:t xml:space="preserve">Las tasas de los fondos federales que se han mantenido cercanas al 0%, los gobernadores del FOMC prevén un crecimiento importante en los próximos años, llegando en 2017 a 2,88%. Por otra parte, el </w:t>
      </w:r>
      <w:proofErr w:type="spellStart"/>
      <w:r>
        <w:t>staff</w:t>
      </w:r>
      <w:proofErr w:type="spellEnd"/>
      <w:r>
        <w:t xml:space="preserve"> de la FED estima un aumento menor </w:t>
      </w:r>
      <w:r w:rsidR="00890792">
        <w:t xml:space="preserve">llegando en el 2017 </w:t>
      </w:r>
      <w:r>
        <w:t xml:space="preserve"> </w:t>
      </w:r>
      <w:r w:rsidR="00890792">
        <w:t>a un</w:t>
      </w:r>
      <w:r>
        <w:t xml:space="preserve"> 2,12%</w:t>
      </w:r>
    </w:p>
    <w:p w14:paraId="147B2332" w14:textId="77777777" w:rsidR="00DD3D89" w:rsidRDefault="00DD3D89" w:rsidP="00DD3D89">
      <w:r>
        <w:t>Hay factores que estimulan  el crecimiento de la economía norteamericana tales como la recuperación del mercado laboral, la disminución del precio del petróleo y la menor intensidad del ajuste fiscal.  Ahora bien, existen  otros factores que podrían incidir negativamente en el desempeño estadounidense tales como la fragilidad del resto de la economía mundial y el comercio global, así como una continuada apreciación del dólar.</w:t>
      </w:r>
    </w:p>
    <w:p w14:paraId="09C0D2CE" w14:textId="4B1922B6" w:rsidR="00DD3D89" w:rsidRDefault="00640608" w:rsidP="00DD3D89">
      <w:r w:rsidRPr="00341DF2">
        <w:rPr>
          <w:noProof/>
          <w:lang w:val="en-US" w:eastAsia="en-US"/>
        </w:rPr>
        <w:drawing>
          <wp:anchor distT="0" distB="0" distL="114300" distR="114300" simplePos="0" relativeHeight="251670528" behindDoc="0" locked="0" layoutInCell="1" allowOverlap="1" wp14:anchorId="447B8399" wp14:editId="544CAC41">
            <wp:simplePos x="0" y="0"/>
            <wp:positionH relativeFrom="column">
              <wp:posOffset>-62865</wp:posOffset>
            </wp:positionH>
            <wp:positionV relativeFrom="paragraph">
              <wp:posOffset>243205</wp:posOffset>
            </wp:positionV>
            <wp:extent cx="3314700" cy="2192655"/>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14700" cy="2192655"/>
                    </a:xfrm>
                    <a:prstGeom prst="rect">
                      <a:avLst/>
                    </a:prstGeom>
                  </pic:spPr>
                </pic:pic>
              </a:graphicData>
            </a:graphic>
            <wp14:sizeRelH relativeFrom="page">
              <wp14:pctWidth>0</wp14:pctWidth>
            </wp14:sizeRelH>
            <wp14:sizeRelV relativeFrom="page">
              <wp14:pctHeight>0</wp14:pctHeight>
            </wp14:sizeRelV>
          </wp:anchor>
        </w:drawing>
      </w:r>
      <w:r w:rsidR="00DD3D89">
        <w:t>Sobre la economía europea, es destacable la rapidez con la que ha reaccionado Grecia para ajustarse a las precondiciones de la Eurozona y así negociar un nuevo rescate, en cuestión de días se modificó el IVA y el régimen de jubilaciones, entre otras medidas. Ya las negociaciones han comenzado y s</w:t>
      </w:r>
      <w:r w:rsidR="001510B8">
        <w:t>e prevé que finalicen el 18 de A</w:t>
      </w:r>
      <w:r w:rsidR="00DD3D89">
        <w:t>gosto con un nuevo acuerdo, por su parte el mercado de valores de Atenas reabrió el lunes 3 de agosto con fuertes caídas. Pero toda esta situación no ha detenido la recuperación europea y según el FMI se esperan crecimientos important</w:t>
      </w:r>
      <w:r w:rsidR="00475F47">
        <w:t>es en las principales economías.</w:t>
      </w:r>
      <w:r w:rsidR="00DD3D89" w:rsidRPr="00341DF2">
        <w:rPr>
          <w:lang w:val="en-US"/>
        </w:rPr>
        <w:t xml:space="preserve"> </w:t>
      </w:r>
    </w:p>
    <w:p w14:paraId="4563CC34" w14:textId="7AE1C3F7" w:rsidR="00DD3D89" w:rsidRDefault="00640608" w:rsidP="00DD3D89">
      <w:r>
        <w:t>Entre</w:t>
      </w:r>
      <w:r w:rsidR="00475F47">
        <w:t xml:space="preserve"> de los </w:t>
      </w:r>
      <w:r w:rsidR="00DD3D89">
        <w:t xml:space="preserve"> factores positivos para Europa destaca la devaluación del euro, las tasas de interés bajas y </w:t>
      </w:r>
      <w:r>
        <w:t xml:space="preserve">la </w:t>
      </w:r>
      <w:r w:rsidR="00DD3D89">
        <w:t>dism</w:t>
      </w:r>
      <w:r w:rsidR="00475F47">
        <w:t xml:space="preserve">inución del precio </w:t>
      </w:r>
      <w:r w:rsidR="005F4437">
        <w:t xml:space="preserve">del petróleo; no obstante los </w:t>
      </w:r>
      <w:r w:rsidR="00DD3D89">
        <w:t>riesgos</w:t>
      </w:r>
      <w:r w:rsidR="005F4437">
        <w:t xml:space="preserve"> </w:t>
      </w:r>
      <w:r>
        <w:t xml:space="preserve">más </w:t>
      </w:r>
      <w:r w:rsidR="005F4437">
        <w:t xml:space="preserve">importantes </w:t>
      </w:r>
      <w:r w:rsidR="005F4437">
        <w:lastRenderedPageBreak/>
        <w:t xml:space="preserve">que </w:t>
      </w:r>
      <w:r w:rsidR="00DD3D89">
        <w:t>se citan</w:t>
      </w:r>
      <w:r w:rsidR="005F4437">
        <w:t xml:space="preserve"> </w:t>
      </w:r>
      <w:r w:rsidR="001510B8">
        <w:t>son</w:t>
      </w:r>
      <w:r w:rsidR="00DD3D89">
        <w:t xml:space="preserve"> las presiones deflacionarias,</w:t>
      </w:r>
      <w:r w:rsidR="001510B8">
        <w:t xml:space="preserve"> el conflicto armado </w:t>
      </w:r>
      <w:r w:rsidR="00DD3D89">
        <w:t xml:space="preserve"> entre Rusia y Ucrania,</w:t>
      </w:r>
      <w:r w:rsidR="001510B8">
        <w:t xml:space="preserve"> el</w:t>
      </w:r>
      <w:r w:rsidR="00DD3D89">
        <w:t xml:space="preserve"> debilitamiento mayor de la econ</w:t>
      </w:r>
      <w:r w:rsidR="005F4437">
        <w:t>omía china y del resto del mund</w:t>
      </w:r>
      <w:r w:rsidR="00DD3D89">
        <w:t>o.</w:t>
      </w:r>
    </w:p>
    <w:p w14:paraId="5D70A931" w14:textId="37F47F8E" w:rsidR="00DD3D89" w:rsidRDefault="001510B8" w:rsidP="00DD3D89">
      <w:r>
        <w:t>C</w:t>
      </w:r>
      <w:r w:rsidR="00DD3D89">
        <w:t>uando se analiza China, se aprecia que la manufactura se ha estancado (PMI=50) pero los servicios siguen creciendo (PMI=59,3). El consumo privado se ha desacelerado respecto a años anteriores así c</w:t>
      </w:r>
      <w:r w:rsidR="005F4437">
        <w:t>omo el sector inmobiliario. R</w:t>
      </w:r>
      <w:r w:rsidR="00DD3D89">
        <w:t xml:space="preserve">ecientemente </w:t>
      </w:r>
      <w:r w:rsidR="005F4437">
        <w:t xml:space="preserve"> hubo </w:t>
      </w:r>
      <w:r w:rsidR="00DD3D89">
        <w:t>un</w:t>
      </w:r>
      <w:r w:rsidR="005F4437">
        <w:t>a</w:t>
      </w:r>
      <w:r w:rsidR="00DD3D89">
        <w:t xml:space="preserve"> </w:t>
      </w:r>
      <w:r w:rsidR="005F4437">
        <w:t xml:space="preserve">contracción </w:t>
      </w:r>
      <w:r w:rsidR="00DD3D89">
        <w:t>impo</w:t>
      </w:r>
      <w:r w:rsidR="005F4437">
        <w:t>r</w:t>
      </w:r>
      <w:r w:rsidR="00DD3D89">
        <w:t xml:space="preserve">tante </w:t>
      </w:r>
      <w:r w:rsidR="005F4437">
        <w:t>en la tendencia al alza</w:t>
      </w:r>
      <w:r w:rsidR="00DD3D89">
        <w:t xml:space="preserve"> en las bolsas de valores chinas </w:t>
      </w:r>
      <w:r w:rsidR="005F4437">
        <w:t>amparada en los factores anteriormente citados. Además, debido a la desaceleración China</w:t>
      </w:r>
      <w:r w:rsidR="00DD3D89">
        <w:t xml:space="preserve"> tambié</w:t>
      </w:r>
      <w:r w:rsidR="005F4437">
        <w:t>n han habido repercusiones importan</w:t>
      </w:r>
      <w:r>
        <w:t xml:space="preserve">tes en los mercados de algunos </w:t>
      </w:r>
      <w:proofErr w:type="spellStart"/>
      <w:r>
        <w:t>C</w:t>
      </w:r>
      <w:r w:rsidR="005F4437">
        <w:t>ommodities</w:t>
      </w:r>
      <w:proofErr w:type="spellEnd"/>
      <w:r w:rsidR="005F4437">
        <w:t xml:space="preserve"> , entre ellos el carbón y el oro.</w:t>
      </w:r>
    </w:p>
    <w:p w14:paraId="156A7BAE" w14:textId="6D45CABD" w:rsidR="00DD3D89" w:rsidRDefault="00DD3D89" w:rsidP="00DD3D89">
      <w:r>
        <w:t xml:space="preserve">La importancia del desempeño </w:t>
      </w:r>
      <w:r w:rsidR="001510B8">
        <w:t>Chino</w:t>
      </w:r>
      <w:r>
        <w:t xml:space="preserve"> </w:t>
      </w:r>
      <w:r w:rsidR="001510B8">
        <w:t>reside</w:t>
      </w:r>
      <w:r>
        <w:t xml:space="preserve"> en el impacto que podría ten</w:t>
      </w:r>
      <w:r w:rsidR="001510B8">
        <w:t xml:space="preserve">er en las economías emergentes </w:t>
      </w:r>
      <w:r>
        <w:t xml:space="preserve"> muy superior al que tendría en economía</w:t>
      </w:r>
      <w:r w:rsidR="001510B8">
        <w:t>s</w:t>
      </w:r>
      <w:r w:rsidR="002E7E25">
        <w:t xml:space="preserve"> desarrolladas.</w:t>
      </w:r>
      <w:r>
        <w:t xml:space="preserve"> </w:t>
      </w:r>
      <w:r w:rsidR="002E7E25">
        <w:t>Por otra parte,</w:t>
      </w:r>
      <w:r>
        <w:t xml:space="preserve"> se han identificado como motores para China la recuperación de la economía estadounidense, la caída del precio del petróleo y sus políticas de estímulo. </w:t>
      </w:r>
      <w:r w:rsidR="002E7E25">
        <w:t>L</w:t>
      </w:r>
      <w:r>
        <w:t xml:space="preserve">a profundización de la fragilidad en la demanda externa, </w:t>
      </w:r>
      <w:r w:rsidR="005F4437">
        <w:t xml:space="preserve">la </w:t>
      </w:r>
      <w:r>
        <w:t xml:space="preserve">desaceleración sorpresiva de la demanda interna y </w:t>
      </w:r>
      <w:r w:rsidR="005F4437">
        <w:t>su impacto sobre la inflaci</w:t>
      </w:r>
      <w:r w:rsidR="008770B3">
        <w:t>ón</w:t>
      </w:r>
      <w:r>
        <w:t xml:space="preserve">, son </w:t>
      </w:r>
      <w:r w:rsidR="008770B3">
        <w:t xml:space="preserve">algunos </w:t>
      </w:r>
      <w:r>
        <w:t xml:space="preserve">factores de riesgo para </w:t>
      </w:r>
      <w:r w:rsidR="008770B3">
        <w:t>el gigante asiático</w:t>
      </w:r>
      <w:r>
        <w:t>.</w:t>
      </w:r>
    </w:p>
    <w:p w14:paraId="6CB72AD9" w14:textId="2C54C1C1" w:rsidR="00DD3D89" w:rsidRDefault="008770B3" w:rsidP="00DD3D89">
      <w:r w:rsidRPr="00045E85">
        <w:rPr>
          <w:noProof/>
          <w:lang w:val="en-US" w:eastAsia="en-US"/>
        </w:rPr>
        <w:drawing>
          <wp:anchor distT="0" distB="0" distL="114300" distR="114300" simplePos="0" relativeHeight="251671552" behindDoc="0" locked="0" layoutInCell="1" allowOverlap="1" wp14:anchorId="06B663FE" wp14:editId="0ADE2687">
            <wp:simplePos x="0" y="0"/>
            <wp:positionH relativeFrom="column">
              <wp:posOffset>51435</wp:posOffset>
            </wp:positionH>
            <wp:positionV relativeFrom="paragraph">
              <wp:posOffset>14605</wp:posOffset>
            </wp:positionV>
            <wp:extent cx="3460750" cy="26765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460750" cy="2676525"/>
                    </a:xfrm>
                    <a:prstGeom prst="rect">
                      <a:avLst/>
                    </a:prstGeom>
                  </pic:spPr>
                </pic:pic>
              </a:graphicData>
            </a:graphic>
            <wp14:sizeRelH relativeFrom="page">
              <wp14:pctWidth>0</wp14:pctWidth>
            </wp14:sizeRelH>
            <wp14:sizeRelV relativeFrom="page">
              <wp14:pctHeight>0</wp14:pctHeight>
            </wp14:sizeRelV>
          </wp:anchor>
        </w:drawing>
      </w:r>
      <w:r>
        <w:t>América L</w:t>
      </w:r>
      <w:r w:rsidR="00DD3D89">
        <w:t>atina proyecta un crecimiento moderado, revisando más minuciosamente la situación por países, se aprecia que los que más se han visto afectados, son los países suramericanos principalmen</w:t>
      </w:r>
      <w:r>
        <w:t>te los exportadores de petróleo. América C</w:t>
      </w:r>
      <w:r w:rsidR="00DD3D89">
        <w:t>entral presenta crecimientos mayores</w:t>
      </w:r>
      <w:r>
        <w:t xml:space="preserve"> que el resto de la región,</w:t>
      </w:r>
      <w:r w:rsidR="00DD3D89">
        <w:t xml:space="preserve"> liderado por Panamá que se espera </w:t>
      </w:r>
      <w:r w:rsidR="002E7E25">
        <w:t>crezca un</w:t>
      </w:r>
      <w:r w:rsidR="00DD3D89">
        <w:t xml:space="preserve"> 6,1% </w:t>
      </w:r>
      <w:r w:rsidR="002E7E25">
        <w:t xml:space="preserve">para el 2015 </w:t>
      </w:r>
      <w:r w:rsidR="00DD3D89">
        <w:t>y 6,4% para 2016</w:t>
      </w:r>
      <w:r>
        <w:t>, según</w:t>
      </w:r>
      <w:r w:rsidR="002E7E25">
        <w:t xml:space="preserve"> datos d</w:t>
      </w:r>
      <w:r>
        <w:t>el FMI</w:t>
      </w:r>
      <w:r w:rsidR="00DD3D89">
        <w:t xml:space="preserve">. Los motores latinoamericanos serían: la recuperación de la economía de Estados Unidos, </w:t>
      </w:r>
      <w:r w:rsidR="002E7E25">
        <w:t>las depreciaciones</w:t>
      </w:r>
      <w:r w:rsidR="00DD3D89">
        <w:t xml:space="preserve"> de la</w:t>
      </w:r>
      <w:r w:rsidR="002E7E25">
        <w:t>s</w:t>
      </w:r>
      <w:r w:rsidR="00DD3D89">
        <w:t xml:space="preserve"> moneda</w:t>
      </w:r>
      <w:r w:rsidR="002E7E25">
        <w:t>s</w:t>
      </w:r>
      <w:r w:rsidR="00DD3D89">
        <w:t xml:space="preserve"> en varios países de la región y </w:t>
      </w:r>
      <w:r w:rsidR="002E7E25">
        <w:t xml:space="preserve">las </w:t>
      </w:r>
      <w:r w:rsidR="00DD3D89">
        <w:t xml:space="preserve">condiciones financieras internacionales expansivas. </w:t>
      </w:r>
      <w:r w:rsidR="002E7E25">
        <w:t>Los riesgos latentes que se observan en la región</w:t>
      </w:r>
      <w:r w:rsidR="00DD3D89">
        <w:t xml:space="preserve"> </w:t>
      </w:r>
      <w:r w:rsidR="002E7E25">
        <w:t>son</w:t>
      </w:r>
      <w:r w:rsidR="00DD3D89">
        <w:t xml:space="preserve"> los continuados precios</w:t>
      </w:r>
      <w:r w:rsidR="002E7E25">
        <w:t xml:space="preserve"> bajos</w:t>
      </w:r>
      <w:r w:rsidR="00DD3D89">
        <w:t xml:space="preserve"> de </w:t>
      </w:r>
      <w:r w:rsidR="002E7E25">
        <w:t xml:space="preserve">las </w:t>
      </w:r>
      <w:r w:rsidR="00DD3D89">
        <w:t xml:space="preserve">materias primas, </w:t>
      </w:r>
      <w:r w:rsidR="002E7E25">
        <w:t xml:space="preserve">la </w:t>
      </w:r>
      <w:r w:rsidR="00DD3D89">
        <w:t>desaceleración pronunciada de la economía china y alguna sorpresa en el calendario previsto de la normalización de tasas de interés estadounidenses.</w:t>
      </w:r>
    </w:p>
    <w:p w14:paraId="1E08840E" w14:textId="0923A4AA" w:rsidR="006E0D94" w:rsidRDefault="00DD3D89" w:rsidP="00DD3D89">
      <w:r w:rsidRPr="00F3174C">
        <w:rPr>
          <w:b/>
        </w:rPr>
        <w:t>L</w:t>
      </w:r>
      <w:r w:rsidR="006E0D94" w:rsidRPr="00F3174C">
        <w:rPr>
          <w:b/>
        </w:rPr>
        <w:t xml:space="preserve">a </w:t>
      </w:r>
      <w:r w:rsidR="00F3174C" w:rsidRPr="00F3174C">
        <w:rPr>
          <w:b/>
        </w:rPr>
        <w:t xml:space="preserve">segunda </w:t>
      </w:r>
      <w:r w:rsidR="006E0D94" w:rsidRPr="00F3174C">
        <w:rPr>
          <w:b/>
        </w:rPr>
        <w:t xml:space="preserve">presentación </w:t>
      </w:r>
      <w:r w:rsidR="00F3174C" w:rsidRPr="00F3174C">
        <w:rPr>
          <w:b/>
        </w:rPr>
        <w:t xml:space="preserve">a cargo </w:t>
      </w:r>
      <w:r w:rsidR="006E0D94" w:rsidRPr="00F3174C">
        <w:rPr>
          <w:b/>
        </w:rPr>
        <w:t xml:space="preserve">del Dr. Luis </w:t>
      </w:r>
      <w:proofErr w:type="spellStart"/>
      <w:r w:rsidR="006E0D94" w:rsidRPr="00F3174C">
        <w:rPr>
          <w:b/>
        </w:rPr>
        <w:t>Mesalles</w:t>
      </w:r>
      <w:proofErr w:type="spellEnd"/>
      <w:r w:rsidR="006E0D94">
        <w:t xml:space="preserve"> </w:t>
      </w:r>
      <w:r w:rsidR="0083539E">
        <w:t xml:space="preserve"> empezó analizando los que se observa en la economía  nacional.  Lo primero que remarcó  fue la estabilidad en el tipo de cambio  caracterizado por uno de los coeficientes de variación  más bajos  en los últimos períodos. </w:t>
      </w:r>
      <w:r w:rsidR="00614B02">
        <w:t xml:space="preserve"> La explicación a este fenómeno  se encuentra en el comportamiento que ha tenido la  Balanza de Pagos y en parte</w:t>
      </w:r>
      <w:r w:rsidR="002E7E25">
        <w:t>,</w:t>
      </w:r>
      <w:r w:rsidR="00614B02">
        <w:t xml:space="preserve"> por  el programa de acumulación de Reservas del BCCR.</w:t>
      </w:r>
    </w:p>
    <w:p w14:paraId="7E749E63" w14:textId="7185727B" w:rsidR="008A1327" w:rsidRDefault="002E7E25" w:rsidP="00DD3D89">
      <w:r>
        <w:t>Las</w:t>
      </w:r>
      <w:r w:rsidR="008A1327">
        <w:t xml:space="preserve"> exportaciones</w:t>
      </w:r>
      <w:r w:rsidR="00C80B5B">
        <w:t xml:space="preserve"> </w:t>
      </w:r>
      <w:r w:rsidR="00D97A4E">
        <w:t xml:space="preserve"> totales </w:t>
      </w:r>
      <w:r w:rsidR="008A1327">
        <w:t xml:space="preserve"> decrecen a un ritmo  del 10.1 </w:t>
      </w:r>
      <w:r>
        <w:t xml:space="preserve">% </w:t>
      </w:r>
      <w:r w:rsidR="008A1327">
        <w:t>explicado en gran medida por Zona Franca y Agricultura</w:t>
      </w:r>
      <w:r w:rsidR="00D97A4E">
        <w:t xml:space="preserve">.  Las exportaciones de servicios  crecen a una tasa de </w:t>
      </w:r>
      <w:r>
        <w:t>5%</w:t>
      </w:r>
      <w:r w:rsidR="00D97A4E">
        <w:t xml:space="preserve"> en empujados por el Turismo que presenta una desaceleración respecto del  año 2013 p</w:t>
      </w:r>
      <w:r>
        <w:t xml:space="preserve">ero que crece a un ritmo de 6.5% </w:t>
      </w:r>
      <w:r w:rsidR="00D97A4E">
        <w:t>aproximadamente.</w:t>
      </w:r>
    </w:p>
    <w:p w14:paraId="10D4F382" w14:textId="1853F260" w:rsidR="00D97A4E" w:rsidRDefault="00D97A4E" w:rsidP="00DD3D89">
      <w:r>
        <w:t>El comportamiento de las importaciones  también presenta  un decrecimiento  importante</w:t>
      </w:r>
      <w:r w:rsidR="002E7E25">
        <w:t xml:space="preserve"> que ronda el 12%</w:t>
      </w:r>
      <w:r w:rsidR="009A1822">
        <w:t xml:space="preserve">,  esto se debe  principalmente  </w:t>
      </w:r>
      <w:r w:rsidR="002E7E25">
        <w:t>al</w:t>
      </w:r>
      <w:r w:rsidR="009A1822">
        <w:t xml:space="preserve"> efecto Intel y </w:t>
      </w:r>
      <w:r w:rsidR="002E7E25">
        <w:t>a la caída en los precios del p</w:t>
      </w:r>
      <w:r w:rsidR="009A1822">
        <w:t>etróleo.</w:t>
      </w:r>
      <w:r w:rsidR="00CA0928">
        <w:t xml:space="preserve">  A pesar de que las importaciones decrecen más rápido  que las exportaciones  el déficit en cuenta corriente persiste aunque menor en comparación a años anteriores.</w:t>
      </w:r>
    </w:p>
    <w:p w14:paraId="53F891A9" w14:textId="15E29E1A" w:rsidR="00CA0928" w:rsidRDefault="002E7E25" w:rsidP="00DD3D89">
      <w:r w:rsidRPr="00CA0928">
        <w:rPr>
          <w:noProof/>
          <w:lang w:val="en-US" w:eastAsia="en-US"/>
        </w:rPr>
        <w:drawing>
          <wp:anchor distT="0" distB="0" distL="114300" distR="114300" simplePos="0" relativeHeight="251663360" behindDoc="0" locked="0" layoutInCell="1" allowOverlap="1" wp14:anchorId="77AD046A" wp14:editId="6F1C9EC2">
            <wp:simplePos x="0" y="0"/>
            <wp:positionH relativeFrom="column">
              <wp:posOffset>-62865</wp:posOffset>
            </wp:positionH>
            <wp:positionV relativeFrom="paragraph">
              <wp:posOffset>14605</wp:posOffset>
            </wp:positionV>
            <wp:extent cx="3657600" cy="1648460"/>
            <wp:effectExtent l="0" t="0" r="0" b="254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928">
        <w:t xml:space="preserve">La entrada de capital por </w:t>
      </w:r>
      <w:r w:rsidR="009D140A">
        <w:t xml:space="preserve"> Inversión E</w:t>
      </w:r>
      <w:r w:rsidR="00CA0928">
        <w:t>xtranjera Directa y  por endeudamiento público balancean al sector externo dejando  un superávit</w:t>
      </w:r>
      <w:r w:rsidR="00703EF9">
        <w:t xml:space="preserve"> de divisas de  alrededor de</w:t>
      </w:r>
      <w:r w:rsidR="00CA0928">
        <w:t xml:space="preserve"> mil millones. Este superávit  de moneda extranjera se traduce  en presiones sobre el tipo de cambio hacia la </w:t>
      </w:r>
      <w:r w:rsidR="002F404F">
        <w:t xml:space="preserve">apreciación.  Estas presiones </w:t>
      </w:r>
      <w:r w:rsidR="00CA0928">
        <w:t xml:space="preserve"> han </w:t>
      </w:r>
      <w:r w:rsidR="002F404F">
        <w:t>sido mitigadas</w:t>
      </w:r>
      <w:r w:rsidR="00CA0928">
        <w:t xml:space="preserve"> por BCCR  gracias a su programa de acumulación de Reservas, desde el primero de Febrero han comprado alrededor de  430 millones de Dólares.</w:t>
      </w:r>
      <w:r w:rsidR="00C80B5B">
        <w:t xml:space="preserve"> Lo que se traduce en un</w:t>
      </w:r>
      <w:r w:rsidR="00711239">
        <w:t>o</w:t>
      </w:r>
      <w:r w:rsidR="00C80B5B">
        <w:t xml:space="preserve"> </w:t>
      </w:r>
      <w:r w:rsidR="009D140A">
        <w:t xml:space="preserve">de los niveles de reservas más </w:t>
      </w:r>
      <w:r w:rsidR="00C80B5B">
        <w:t>a</w:t>
      </w:r>
      <w:r w:rsidR="009D140A">
        <w:t>l</w:t>
      </w:r>
      <w:r w:rsidR="00C80B5B">
        <w:t>tos  de los últimos tiempos, alrededor de 8360 millones.</w:t>
      </w:r>
      <w:r w:rsidR="00711239">
        <w:t xml:space="preserve">  </w:t>
      </w:r>
      <w:r w:rsidR="002F404F">
        <w:t>El</w:t>
      </w:r>
      <w:r w:rsidR="00D6692F">
        <w:t xml:space="preserve"> premio por ahorrar en colones acentúa las presiones hacia la</w:t>
      </w:r>
      <w:r w:rsidR="00F2388E">
        <w:t xml:space="preserve"> apreciación del tipo de cambio ya que incentiva el ahorro en colones lo que desincentiva la demanda de dólares. </w:t>
      </w:r>
    </w:p>
    <w:p w14:paraId="51833D20" w14:textId="59DBE30B" w:rsidR="00860ED0" w:rsidRDefault="002F404F" w:rsidP="00DD3D89">
      <w:r w:rsidRPr="007E4149">
        <w:rPr>
          <w:noProof/>
          <w:lang w:val="en-US" w:eastAsia="en-US"/>
        </w:rPr>
        <w:drawing>
          <wp:anchor distT="0" distB="0" distL="114300" distR="114300" simplePos="0" relativeHeight="251664384" behindDoc="0" locked="0" layoutInCell="1" allowOverlap="1" wp14:anchorId="6B42D753" wp14:editId="70F7CDCD">
            <wp:simplePos x="0" y="0"/>
            <wp:positionH relativeFrom="column">
              <wp:posOffset>-62865</wp:posOffset>
            </wp:positionH>
            <wp:positionV relativeFrom="paragraph">
              <wp:posOffset>14605</wp:posOffset>
            </wp:positionV>
            <wp:extent cx="3657600" cy="19608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57600" cy="1960880"/>
                    </a:xfrm>
                    <a:prstGeom prst="rect">
                      <a:avLst/>
                    </a:prstGeom>
                  </pic:spPr>
                </pic:pic>
              </a:graphicData>
            </a:graphic>
            <wp14:sizeRelH relativeFrom="page">
              <wp14:pctWidth>0</wp14:pctWidth>
            </wp14:sizeRelH>
            <wp14:sizeRelV relativeFrom="page">
              <wp14:pctHeight>0</wp14:pctHeight>
            </wp14:sizeRelV>
          </wp:anchor>
        </w:drawing>
      </w:r>
      <w:r w:rsidR="00F2388E">
        <w:t>Debido a esta estabilidad en el tipo de cambio  y a  que  el comportamiento de la inflación nacional ha sido superior  a  la inflación de nuestros socios comerciales el ti</w:t>
      </w:r>
      <w:r w:rsidR="003A06B7">
        <w:t xml:space="preserve">po de cambio real (ITCER) tuvo una tendencia hacia la apreciación con </w:t>
      </w:r>
      <w:r w:rsidR="00F2388E">
        <w:t>una leve corrección durante los últimos meses</w:t>
      </w:r>
      <w:r w:rsidR="003A06B7">
        <w:t xml:space="preserve"> debido a la baja inflación que experimenta el país</w:t>
      </w:r>
      <w:r w:rsidR="00F2388E">
        <w:t>.</w:t>
      </w:r>
    </w:p>
    <w:p w14:paraId="25BFDCAE" w14:textId="113B90EF" w:rsidR="002A37C6" w:rsidRDefault="00C40BBB" w:rsidP="00DD3D89">
      <w:r>
        <w:t xml:space="preserve">Por otra parte, se observa  un comportamiento de las tasas de interés hacia la baja. La  Tasa de Política monetaria </w:t>
      </w:r>
      <w:r w:rsidR="002F404F">
        <w:t xml:space="preserve">se ubicó el mes de Julio en 3.0% </w:t>
      </w:r>
      <w:r w:rsidR="00B974CE">
        <w:t>mientras</w:t>
      </w:r>
      <w:r w:rsidR="002A37C6">
        <w:t xml:space="preserve"> que la Tasa  Básica P</w:t>
      </w:r>
      <w:r w:rsidR="00932CEA">
        <w:t>asiva</w:t>
      </w:r>
      <w:r w:rsidR="002A37C6">
        <w:t xml:space="preserve"> disminuyo</w:t>
      </w:r>
      <w:r w:rsidR="00932CEA">
        <w:t xml:space="preserve"> y cerro el mes en</w:t>
      </w:r>
      <w:r>
        <w:t xml:space="preserve"> 6.75</w:t>
      </w:r>
      <w:r w:rsidR="002F404F">
        <w:t>%</w:t>
      </w:r>
      <w:r>
        <w:t>.</w:t>
      </w:r>
      <w:r w:rsidR="00B974CE">
        <w:t xml:space="preserve"> La baja en 200 puntos base en la TPM  no ha tenido  un efecto inmediato sobre </w:t>
      </w:r>
      <w:r w:rsidR="003467B4">
        <w:t>la TBP aunque se espera que baje</w:t>
      </w:r>
      <w:r w:rsidR="00B974CE">
        <w:t xml:space="preserve"> un poco más en </w:t>
      </w:r>
      <w:r w:rsidR="002A37C6">
        <w:t xml:space="preserve">los próximos </w:t>
      </w:r>
      <w:r w:rsidR="00B974CE">
        <w:t xml:space="preserve">meses. </w:t>
      </w:r>
    </w:p>
    <w:p w14:paraId="412A47F8" w14:textId="53CED526" w:rsidR="00F76042" w:rsidRDefault="002F404F" w:rsidP="00DD3D89">
      <w:r w:rsidRPr="00932CEA">
        <w:rPr>
          <w:noProof/>
          <w:lang w:val="en-US" w:eastAsia="en-US"/>
        </w:rPr>
        <w:drawing>
          <wp:anchor distT="0" distB="0" distL="114300" distR="114300" simplePos="0" relativeHeight="251665408" behindDoc="0" locked="0" layoutInCell="1" allowOverlap="1" wp14:anchorId="49FB2BC2" wp14:editId="59B3FB12">
            <wp:simplePos x="0" y="0"/>
            <wp:positionH relativeFrom="column">
              <wp:posOffset>-62865</wp:posOffset>
            </wp:positionH>
            <wp:positionV relativeFrom="paragraph">
              <wp:posOffset>14605</wp:posOffset>
            </wp:positionV>
            <wp:extent cx="3543300" cy="198945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43300" cy="1989455"/>
                    </a:xfrm>
                    <a:prstGeom prst="rect">
                      <a:avLst/>
                    </a:prstGeom>
                  </pic:spPr>
                </pic:pic>
              </a:graphicData>
            </a:graphic>
            <wp14:sizeRelH relativeFrom="page">
              <wp14:pctWidth>0</wp14:pctWidth>
            </wp14:sizeRelH>
            <wp14:sizeRelV relativeFrom="page">
              <wp14:pctHeight>0</wp14:pctHeight>
            </wp14:sizeRelV>
          </wp:anchor>
        </w:drawing>
      </w:r>
      <w:r w:rsidR="003467B4">
        <w:t xml:space="preserve">Existen varios motivos que han hecho  que las autoridades monetarias bajen  la TPM. En primer lugar, se observa  que tanto la inflación medida por el </w:t>
      </w:r>
      <w:r w:rsidR="002A37C6">
        <w:t>Índice de Precios la consumido</w:t>
      </w:r>
      <w:r w:rsidR="007827D9">
        <w:t>r</w:t>
      </w:r>
      <w:r w:rsidR="002A37C6">
        <w:t xml:space="preserve"> (</w:t>
      </w:r>
      <w:r w:rsidR="003467B4">
        <w:t>IPC</w:t>
      </w:r>
      <w:r w:rsidR="002A37C6">
        <w:t>)</w:t>
      </w:r>
      <w:r w:rsidR="003467B4">
        <w:t xml:space="preserve"> así como por el </w:t>
      </w:r>
      <w:r w:rsidR="002A37C6">
        <w:t>Índice Subyacente de Inflación (</w:t>
      </w:r>
      <w:r w:rsidR="003467B4">
        <w:t>ISI</w:t>
      </w:r>
      <w:r w:rsidR="002A37C6">
        <w:t>)</w:t>
      </w:r>
      <w:r w:rsidR="003467B4">
        <w:t xml:space="preserve">  </w:t>
      </w:r>
      <w:r w:rsidR="007827D9">
        <w:t>se encuentran</w:t>
      </w:r>
      <w:r w:rsidR="002A37C6">
        <w:t xml:space="preserve"> por debajo  del rango </w:t>
      </w:r>
      <w:r w:rsidR="007827D9">
        <w:t>meta establecido por el Central</w:t>
      </w:r>
      <w:r w:rsidR="00932CEA">
        <w:t xml:space="preserve">. </w:t>
      </w:r>
      <w:r w:rsidR="002A37C6">
        <w:t xml:space="preserve"> </w:t>
      </w:r>
      <w:r w:rsidR="007827D9">
        <w:t>Por otra parte</w:t>
      </w:r>
      <w:r w:rsidR="00916C0F">
        <w:t>,</w:t>
      </w:r>
      <w:r w:rsidR="002A37C6">
        <w:t xml:space="preserve"> se observa  que todos los agregados monetarios crecen por debajo de las proyecciones hechas a principio de año </w:t>
      </w:r>
      <w:r w:rsidR="007827D9">
        <w:t>por el BCCR</w:t>
      </w:r>
      <w:r w:rsidR="002A37C6">
        <w:t xml:space="preserve">. </w:t>
      </w:r>
      <w:r w:rsidR="007827D9">
        <w:t>Aunado a esto</w:t>
      </w:r>
      <w:r w:rsidR="002A37C6">
        <w:t>, la desaceleración económica ha hecho que el crecimiento de los créditos  crezca al 9</w:t>
      </w:r>
      <w:r>
        <w:t>%</w:t>
      </w:r>
      <w:r w:rsidR="00916C0F">
        <w:t>,</w:t>
      </w:r>
      <w:r>
        <w:t xml:space="preserve"> 3% </w:t>
      </w:r>
      <w:r w:rsidR="002A37C6">
        <w:t>menos que lo estimado  por el Banco Central</w:t>
      </w:r>
      <w:r w:rsidR="00932CEA">
        <w:t>. Todos estos factores amplían el rango de acción del Central para poder bajar tasas  y no presionar  la inflación.</w:t>
      </w:r>
    </w:p>
    <w:p w14:paraId="4C24C53B" w14:textId="40D3ECA5" w:rsidR="007827D9" w:rsidRDefault="007827D9" w:rsidP="00DD3D89">
      <w:r>
        <w:t xml:space="preserve">La situación fiscal que presenta el país es uno de los </w:t>
      </w:r>
      <w:r w:rsidR="002D283B">
        <w:t>fundamentales</w:t>
      </w:r>
      <w:r>
        <w:t xml:space="preserve"> que  presionan para que las tasas de interés </w:t>
      </w:r>
      <w:r w:rsidR="00916C0F">
        <w:t>tiendan a subir, no obstante el manejo de tesorería por parte del Ministerio de Hacienda  y el financiamiento externo (últimos mil millones de Eurobonos)</w:t>
      </w:r>
      <w:r w:rsidR="002F404F">
        <w:t xml:space="preserve"> </w:t>
      </w:r>
      <w:r w:rsidR="00916C0F">
        <w:t xml:space="preserve">han hecho que dicha presión disminuya . Se observa un déficit fiscal  tanto Financiero como Primario con tendencia al alza  poniendo cada vez más presión sobre la deuda, al mes de Junio del 2015 la Deuda Pública del Gobierno Central se ubicaba  en 40.3%. </w:t>
      </w:r>
    </w:p>
    <w:p w14:paraId="18584B2E" w14:textId="46A72066" w:rsidR="0093385A" w:rsidRDefault="002F404F" w:rsidP="00DD3D89">
      <w:r w:rsidRPr="00137625">
        <w:rPr>
          <w:noProof/>
          <w:lang w:val="en-US" w:eastAsia="en-US"/>
        </w:rPr>
        <w:drawing>
          <wp:anchor distT="0" distB="0" distL="114300" distR="114300" simplePos="0" relativeHeight="251666432" behindDoc="0" locked="0" layoutInCell="1" allowOverlap="1" wp14:anchorId="2B728CF6" wp14:editId="1DB0B65B">
            <wp:simplePos x="0" y="0"/>
            <wp:positionH relativeFrom="column">
              <wp:posOffset>-62865</wp:posOffset>
            </wp:positionH>
            <wp:positionV relativeFrom="paragraph">
              <wp:posOffset>14605</wp:posOffset>
            </wp:positionV>
            <wp:extent cx="3480435" cy="219646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480435" cy="2196465"/>
                    </a:xfrm>
                    <a:prstGeom prst="rect">
                      <a:avLst/>
                    </a:prstGeom>
                  </pic:spPr>
                </pic:pic>
              </a:graphicData>
            </a:graphic>
            <wp14:sizeRelH relativeFrom="page">
              <wp14:pctWidth>0</wp14:pctWidth>
            </wp14:sizeRelH>
            <wp14:sizeRelV relativeFrom="page">
              <wp14:pctHeight>0</wp14:pctHeight>
            </wp14:sizeRelV>
          </wp:anchor>
        </w:drawing>
      </w:r>
      <w:r w:rsidR="0093385A">
        <w:t xml:space="preserve">El sector real presenta una desaceleración desde marzo del año pasado ubicando al </w:t>
      </w:r>
      <w:r w:rsidR="002D283B">
        <w:t>IMAE y al IMAE sin Z</w:t>
      </w:r>
      <w:r w:rsidR="0093385A">
        <w:t>ona Franca en 1.3 y 2.7 por ciento.</w:t>
      </w:r>
      <w:r w:rsidR="00AE5512">
        <w:t xml:space="preserve"> Esta desaceleración se explica principalmente por la contracción que  sufren los sectores de la Agricultura y la Industria manufacturera. No obstante, los sectores más dinámicos  para el período en análisis  fueron Comercio y Construcción.</w:t>
      </w:r>
      <w:r w:rsidR="00BF39FB">
        <w:t xml:space="preserve"> Este comportamiento de la actividad en el Sector  Real no contribuye a la reducción de la pobreza y el desempleo.</w:t>
      </w:r>
    </w:p>
    <w:p w14:paraId="65D8FE5D" w14:textId="53675B8E" w:rsidR="00BE42FF" w:rsidRDefault="00BE42FF" w:rsidP="00DD3D89">
      <w:r>
        <w:t>La segunda  parte de la presentación</w:t>
      </w:r>
      <w:r w:rsidR="002D283B">
        <w:t xml:space="preserve"> del Dr. </w:t>
      </w:r>
      <w:proofErr w:type="spellStart"/>
      <w:r w:rsidR="002D283B">
        <w:t>Mesalles</w:t>
      </w:r>
      <w:proofErr w:type="spellEnd"/>
      <w:r w:rsidR="002D283B">
        <w:t xml:space="preserve">  se trató</w:t>
      </w:r>
      <w:r>
        <w:t xml:space="preserve"> de lo que puede pasar. El BCCR mantiene  la meta de inflación ya que se espera que nos ubiquemos en el rango meta durante el 2016. Además</w:t>
      </w:r>
      <w:r w:rsidR="007604EF">
        <w:t>, espera bajar</w:t>
      </w:r>
      <w:r>
        <w:t xml:space="preserve"> la TPM en 0.5</w:t>
      </w:r>
      <w:r w:rsidR="002F404F">
        <w:t>%</w:t>
      </w:r>
      <w:r>
        <w:t xml:space="preserve"> ya qu</w:t>
      </w:r>
      <w:r w:rsidR="007604EF">
        <w:t>e reconoce un crecimiento lento</w:t>
      </w:r>
      <w:r>
        <w:t>, inflación baja y</w:t>
      </w:r>
      <w:r w:rsidR="007604EF">
        <w:t xml:space="preserve"> agregados monetarios que creciendo</w:t>
      </w:r>
      <w:r>
        <w:t xml:space="preserve"> poco. Mantiene el programa de compra de divisas en $800 millones con ello pretende mitigar la apreciac</w:t>
      </w:r>
      <w:r w:rsidR="007604EF">
        <w:t>i</w:t>
      </w:r>
      <w:r>
        <w:t>ón del Colón y evitar fluctuaciones violentas en tipo de cambio.</w:t>
      </w:r>
    </w:p>
    <w:p w14:paraId="61E56BB9" w14:textId="78907679" w:rsidR="00BE42FF" w:rsidRDefault="002F404F" w:rsidP="00DD3D89">
      <w:r w:rsidRPr="004576CA">
        <w:rPr>
          <w:noProof/>
          <w:lang w:val="en-US" w:eastAsia="en-US"/>
        </w:rPr>
        <w:drawing>
          <wp:anchor distT="0" distB="0" distL="114300" distR="114300" simplePos="0" relativeHeight="251667456" behindDoc="0" locked="0" layoutInCell="1" allowOverlap="1" wp14:anchorId="464D4F57" wp14:editId="591E0674">
            <wp:simplePos x="0" y="0"/>
            <wp:positionH relativeFrom="column">
              <wp:posOffset>-62865</wp:posOffset>
            </wp:positionH>
            <wp:positionV relativeFrom="paragraph">
              <wp:posOffset>14605</wp:posOffset>
            </wp:positionV>
            <wp:extent cx="2794635" cy="2441575"/>
            <wp:effectExtent l="0" t="0" r="0" b="0"/>
            <wp:wrapSquare wrapText="bothSides"/>
            <wp:docPr id="9" name="Marcador de conteni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94635" cy="2441575"/>
                    </a:xfrm>
                    <a:prstGeom prst="rect">
                      <a:avLst/>
                    </a:prstGeom>
                  </pic:spPr>
                </pic:pic>
              </a:graphicData>
            </a:graphic>
            <wp14:sizeRelH relativeFrom="page">
              <wp14:pctWidth>0</wp14:pctWidth>
            </wp14:sizeRelH>
            <wp14:sizeRelV relativeFrom="page">
              <wp14:pctHeight>0</wp14:pctHeight>
            </wp14:sizeRelV>
          </wp:anchor>
        </w:drawing>
      </w:r>
      <w:r w:rsidR="00BE42FF">
        <w:t xml:space="preserve">El Gobierno mantiene su estrategia  de mayor recaudación </w:t>
      </w:r>
      <w:r w:rsidR="002D283B">
        <w:t>de impuestos  por medio de medidas administrativas</w:t>
      </w:r>
      <w:r w:rsidR="00BE42FF">
        <w:t xml:space="preserve">, proyecto Lucha contra el contrabando, proyecto contra Evasión y Elusión Fiscal, proyecto del IVA y </w:t>
      </w:r>
      <w:r w:rsidR="007604EF">
        <w:t>proyecto de Impuesto a la Renta. Debido a la situación  política en el Congreso no se espera un gran impacto de estas medidas durante el  2016 aunque  de darse el total del ajuste sería grande. Según estimaciones de Hacienda se espera recaudar por el lado de los Ingresos 3.</w:t>
      </w:r>
      <w:r>
        <w:t>3%</w:t>
      </w:r>
      <w:r w:rsidR="007604EF">
        <w:t xml:space="preserve"> y por el lado de los Gastos 1.2</w:t>
      </w:r>
      <w:r>
        <w:t>%</w:t>
      </w:r>
      <w:r w:rsidR="004576CA">
        <w:rPr>
          <w:rStyle w:val="FootnoteReference"/>
        </w:rPr>
        <w:footnoteReference w:id="1"/>
      </w:r>
      <w:r w:rsidR="007604EF">
        <w:t>.</w:t>
      </w:r>
    </w:p>
    <w:p w14:paraId="468EAAA3" w14:textId="240F432A" w:rsidR="00F41469" w:rsidRDefault="00E40EEE" w:rsidP="00DD3D89">
      <w:r>
        <w:t>Por último, el economista y socio consultor de Ecoanálisis</w:t>
      </w:r>
      <w:r w:rsidR="003A5A25">
        <w:t xml:space="preserve"> Luis </w:t>
      </w:r>
      <w:proofErr w:type="spellStart"/>
      <w:r w:rsidR="003A5A25">
        <w:t>Mesalles</w:t>
      </w:r>
      <w:proofErr w:type="spellEnd"/>
      <w:r w:rsidR="003A5A25">
        <w:t xml:space="preserve"> presentó las proyecciones  para lo que resta del 2015 y el 2016. Para el 2015 se  proyectó una entrada de capital  de $948 millones, esto debido a la caída en el déficit en cuenta corriente y al superávit en la Cuenta Capital y Financiera explicado por el endeudamiento  externo por parte del sector público y la entrada de IED. Para el 2016 se espera que el déficit en cuenta corriente aumente pero que no llegue a niveles anteriores a los alcanzados antes de la caída en los precios del petróleo y </w:t>
      </w:r>
      <w:r w:rsidR="002D283B">
        <w:t xml:space="preserve">los </w:t>
      </w:r>
      <w:proofErr w:type="spellStart"/>
      <w:r w:rsidR="003A5A25">
        <w:t>commodities</w:t>
      </w:r>
      <w:proofErr w:type="spellEnd"/>
      <w:r w:rsidR="003A5A25">
        <w:t xml:space="preserve">. Además, se espera una entrada de Capital por parte del Sector Público de $697 millones y de </w:t>
      </w:r>
      <w:r w:rsidR="001A4A14">
        <w:t>$</w:t>
      </w:r>
      <w:r w:rsidR="003A5A25">
        <w:t>2200</w:t>
      </w:r>
      <w:r w:rsidR="001A4A14">
        <w:t xml:space="preserve"> millones </w:t>
      </w:r>
      <w:r w:rsidR="003A5A25">
        <w:t xml:space="preserve"> </w:t>
      </w:r>
      <w:r w:rsidR="001A4A14">
        <w:t>por IED provocando una salida de capital de alrededor de $100 millones, lo cual no generaría una dificultad mayor para el BCCR.</w:t>
      </w:r>
    </w:p>
    <w:p w14:paraId="4A181134" w14:textId="30B40FAA" w:rsidR="004576CA" w:rsidRDefault="002D283B" w:rsidP="00DD3D89">
      <w:r>
        <w:t>Esto provocaría que se de una ligera devaluación  del Tipo de cambio  durante el 2016 provocando una  devaluación real de 0.5</w:t>
      </w:r>
      <w:r w:rsidR="003514FE">
        <w:t>%</w:t>
      </w:r>
      <w:r>
        <w:t>.</w:t>
      </w:r>
      <w:r w:rsidR="00F41469">
        <w:t xml:space="preserve"> Por su parte</w:t>
      </w:r>
      <w:r w:rsidR="003514FE">
        <w:t>,</w:t>
      </w:r>
      <w:r w:rsidR="00F41469">
        <w:t xml:space="preserve"> este año </w:t>
      </w:r>
      <w:r w:rsidR="003514FE">
        <w:t>se espera una inflación del 2.5%</w:t>
      </w:r>
      <w:r w:rsidR="00F41469">
        <w:t xml:space="preserve">y el próximo año de 3.5 </w:t>
      </w:r>
      <w:r w:rsidR="003514FE">
        <w:t xml:space="preserve">% </w:t>
      </w:r>
      <w:r w:rsidR="00F41469">
        <w:t xml:space="preserve">esto debido a que se espera que continúen los precios bajos de las materias primas. </w:t>
      </w:r>
    </w:p>
    <w:p w14:paraId="59125A06" w14:textId="2968AD91" w:rsidR="00F41469" w:rsidRDefault="008624D9" w:rsidP="00DD3D89">
      <w:r w:rsidRPr="008624D9">
        <w:rPr>
          <w:noProof/>
          <w:lang w:val="en-US" w:eastAsia="en-US"/>
        </w:rPr>
        <w:drawing>
          <wp:anchor distT="0" distB="0" distL="114300" distR="114300" simplePos="0" relativeHeight="251668480" behindDoc="0" locked="0" layoutInCell="1" allowOverlap="1" wp14:anchorId="7F5A765D" wp14:editId="1CB85D02">
            <wp:simplePos x="0" y="0"/>
            <wp:positionH relativeFrom="column">
              <wp:posOffset>0</wp:posOffset>
            </wp:positionH>
            <wp:positionV relativeFrom="paragraph">
              <wp:posOffset>104140</wp:posOffset>
            </wp:positionV>
            <wp:extent cx="3937635" cy="3601720"/>
            <wp:effectExtent l="0" t="0" r="0" b="508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937635" cy="3601720"/>
                    </a:xfrm>
                    <a:prstGeom prst="rect">
                      <a:avLst/>
                    </a:prstGeom>
                  </pic:spPr>
                </pic:pic>
              </a:graphicData>
            </a:graphic>
            <wp14:sizeRelH relativeFrom="page">
              <wp14:pctWidth>0</wp14:pctWidth>
            </wp14:sizeRelH>
            <wp14:sizeRelV relativeFrom="page">
              <wp14:pctHeight>0</wp14:pctHeight>
            </wp14:sizeRelV>
          </wp:anchor>
        </w:drawing>
      </w:r>
      <w:r w:rsidR="00F41469">
        <w:t xml:space="preserve">En la parte fiscal se espera que sin Reforma Fiscal  los gastos continúen creciendo por encima que la recaudación lo cual  generaría que el déficit y el peso de los intereses sigan al alza, llegando a un nivel  de Déficit Financiero de 6.5 por ciento del PIB. Todo esto implicaría que  la Deuda Total  siga creciendo  llegando a niveles cercanos al 50 </w:t>
      </w:r>
      <w:r w:rsidR="003514FE">
        <w:t>%</w:t>
      </w:r>
      <w:r w:rsidR="00F41469">
        <w:t>.</w:t>
      </w:r>
    </w:p>
    <w:p w14:paraId="6D60FFC4" w14:textId="7C71C10B" w:rsidR="00F41469" w:rsidRDefault="00F41469" w:rsidP="00CF2632">
      <w:r>
        <w:t xml:space="preserve"> A manera de conclusión se puede esperar una pequeña deval</w:t>
      </w:r>
      <w:r w:rsidR="008624D9">
        <w:t>uación para el 2016 , reservas i</w:t>
      </w:r>
      <w:r>
        <w:t>nternacional</w:t>
      </w:r>
      <w:r w:rsidR="008624D9">
        <w:t>es</w:t>
      </w:r>
      <w:r>
        <w:t xml:space="preserve"> altas y tasas de interés al alza aunque menores que las del 2012 en </w:t>
      </w:r>
      <w:r w:rsidR="003514FE">
        <w:t xml:space="preserve">términos reales, una tasa </w:t>
      </w:r>
      <w:r>
        <w:t xml:space="preserve">crecimiento para el 2016 </w:t>
      </w:r>
      <w:r w:rsidR="003514FE">
        <w:t>mayor que la del 2015</w:t>
      </w:r>
      <w:r>
        <w:t xml:space="preserve"> </w:t>
      </w:r>
      <w:r w:rsidR="003514FE">
        <w:t>aunque</w:t>
      </w:r>
      <w:r>
        <w:t xml:space="preserve"> por debajo del promedio histórico</w:t>
      </w:r>
      <w:r w:rsidR="003514FE">
        <w:t>,</w:t>
      </w:r>
      <w:bookmarkStart w:id="0" w:name="_GoBack"/>
      <w:bookmarkEnd w:id="0"/>
      <w:r>
        <w:t xml:space="preserve">  lo que dificulta la reducción del desempleo. Para el 2016 el déficit fiscal estaría llegando a una situación crí</w:t>
      </w:r>
      <w:r w:rsidR="008624D9">
        <w:t>tica lo que disminuye los grados</w:t>
      </w:r>
      <w:r>
        <w:t xml:space="preserve"> de liberta</w:t>
      </w:r>
      <w:r w:rsidR="008624D9">
        <w:t>d</w:t>
      </w:r>
      <w:r>
        <w:t xml:space="preserve"> política y económicamente.</w:t>
      </w:r>
    </w:p>
    <w:p w14:paraId="3218F97E" w14:textId="03EC2127" w:rsidR="00CE2D0B" w:rsidRDefault="00033A38" w:rsidP="00CF2632">
      <w:r w:rsidRPr="00F3174C">
        <w:rPr>
          <w:b/>
        </w:rPr>
        <w:t>La tercera ponencia estuvo a cargo del Dr. Jorge V</w:t>
      </w:r>
      <w:r w:rsidR="00CE2D0B" w:rsidRPr="00F3174C">
        <w:rPr>
          <w:b/>
        </w:rPr>
        <w:t xml:space="preserve">argas </w:t>
      </w:r>
      <w:proofErr w:type="spellStart"/>
      <w:r w:rsidR="00CE2D0B" w:rsidRPr="00F3174C">
        <w:rPr>
          <w:b/>
        </w:rPr>
        <w:t>Cullel</w:t>
      </w:r>
      <w:proofErr w:type="spellEnd"/>
      <w:r w:rsidR="00CE2D0B">
        <w:t>, la misma se tituló “Situación política en Costa Rica: F</w:t>
      </w:r>
      <w:r>
        <w:t>undamentos y perspectivas</w:t>
      </w:r>
      <w:r w:rsidR="00CE2D0B">
        <w:t xml:space="preserve">”. El Dr. </w:t>
      </w:r>
      <w:proofErr w:type="spellStart"/>
      <w:r w:rsidR="00CE2D0B">
        <w:t>Cullel</w:t>
      </w:r>
      <w:proofErr w:type="spellEnd"/>
      <w:r w:rsidR="00CE2D0B">
        <w:t xml:space="preserve"> inició su ponencia  haciendo un recuento de los fundamentos que definen el contexto político actual. </w:t>
      </w:r>
    </w:p>
    <w:p w14:paraId="246E4D58" w14:textId="2E160BF9" w:rsidR="00033A38" w:rsidRDefault="00EF091E" w:rsidP="00CF2632">
      <w:r>
        <w:t xml:space="preserve">En la categoría de Fundamentos actitudinales </w:t>
      </w:r>
      <w:r w:rsidR="00CE2D0B">
        <w:t>se observa un cambio de los electores respecto al Gobierno, con el paso de los años los Gobierno</w:t>
      </w:r>
      <w:r w:rsidR="00F3174C">
        <w:t>s</w:t>
      </w:r>
      <w:r w:rsidR="00CE2D0B">
        <w:t xml:space="preserve"> pierde</w:t>
      </w:r>
      <w:r w:rsidR="00F3174C">
        <w:t>n</w:t>
      </w:r>
      <w:r w:rsidR="00CE2D0B">
        <w:t xml:space="preserve"> legitimidad. Costa Rica </w:t>
      </w:r>
      <w:r w:rsidR="00885473">
        <w:t xml:space="preserve">cambia </w:t>
      </w:r>
      <w:r w:rsidR="00CE2D0B">
        <w:t xml:space="preserve"> </w:t>
      </w:r>
      <w:r w:rsidR="00885473">
        <w:t xml:space="preserve">la </w:t>
      </w:r>
      <w:r w:rsidR="00CE2D0B">
        <w:t xml:space="preserve">mirada positiva </w:t>
      </w:r>
      <w:r w:rsidR="00885473">
        <w:t xml:space="preserve">que tenía </w:t>
      </w:r>
      <w:r w:rsidR="00CE2D0B">
        <w:t xml:space="preserve">del gobierno a </w:t>
      </w:r>
      <w:r w:rsidR="00885473">
        <w:t xml:space="preserve">tener una actitud más </w:t>
      </w:r>
      <w:r w:rsidR="00CE2D0B">
        <w:t xml:space="preserve"> </w:t>
      </w:r>
      <w:r w:rsidR="00F3174C">
        <w:t>incrédula</w:t>
      </w:r>
      <w:r>
        <w:t>. Se pasó</w:t>
      </w:r>
      <w:r w:rsidR="00F3174C">
        <w:t xml:space="preserve">  de una actitud conservadora , donde se pensaba  que se gobernaba para la mayoría y las cosas se hacían bien  a ser un electorado  incrédulo que se aparta de los partidos tradicionales y  que se </w:t>
      </w:r>
      <w:r w:rsidR="00885473">
        <w:t>agrupa en el centro o fuera de la escala derecha-izquierda.</w:t>
      </w:r>
      <w:r w:rsidR="00F17A62">
        <w:t xml:space="preserve"> Además</w:t>
      </w:r>
      <w:r>
        <w:t>,</w:t>
      </w:r>
      <w:r w:rsidR="00F17A62">
        <w:t xml:space="preserve"> las afinidades políticas se transforman  donde el PUSC-PLN pierden afinidades, los partido emergentes ganan pero la característica principal es que  la mayoría deja de tener una afinidad por algún partido determinado.</w:t>
      </w:r>
    </w:p>
    <w:p w14:paraId="1ED61272" w14:textId="7F415A58" w:rsidR="00EF091E" w:rsidRDefault="00EF091E" w:rsidP="00CF2632">
      <w:r>
        <w:t>Los fundamentos políticos</w:t>
      </w:r>
      <w:r w:rsidR="00A37E06">
        <w:t xml:space="preserve"> están caracterizados por un a</w:t>
      </w:r>
      <w:r w:rsidR="0013391F">
        <w:t xml:space="preserve">nti-continuismo político caracterizado por el gane del PAC en las zonas centrales y más desarrolladas donde el Partido Liberación Nacional </w:t>
      </w:r>
      <w:r w:rsidR="00F064AF">
        <w:t xml:space="preserve">se desplaza a la periferia. Este hecho fue caracterizado por Don Jorge Vargas  como la </w:t>
      </w:r>
      <w:r w:rsidR="005B3891">
        <w:t>“</w:t>
      </w:r>
      <w:r w:rsidR="00F064AF">
        <w:t>rebelión de las clases medias</w:t>
      </w:r>
      <w:r w:rsidR="005B3891">
        <w:t>”</w:t>
      </w:r>
      <w:r w:rsidR="00F064AF">
        <w:t xml:space="preserve">. Además de este  fenómeno se perciben afinidades políticas débiles, caracterizadas por la caída del PUSC-PLN , el surgimiento de  </w:t>
      </w:r>
      <w:r w:rsidR="00E618B1">
        <w:t xml:space="preserve">coincidencias hacia otros partidos pero  sobre todo el  surgimiento del electorado sin partido definido. Este fenómeno  se traduce en un esquema  de multipartidismo fragmentado  en un Régimen Presidencialista.  La literatura y la experiencia hablan de que este esquema político se traduce en parálisis  y conflicto entre poderes.  Por último,  esta nueva etapa de las afinidades políticas  se caracteriza  por un aumento de la protesta  social , donde se observa mayor movilización social pero con menor  intensidad; es decir la protesta no se focaliza en temas específicos encabezados por pocos líderes políticos sino que </w:t>
      </w:r>
      <w:r w:rsidR="005B3891">
        <w:t xml:space="preserve"> hay gran cantidad y diversos  temas con muchos actores </w:t>
      </w:r>
      <w:r w:rsidR="000246DB">
        <w:t>dirigié</w:t>
      </w:r>
      <w:r w:rsidR="005B3891">
        <w:t>ndolos.  Además, la  característica principal de esta  protesta generalizada es la calle. El análisis que se hace de este fenómeno se centra en que el electorado al no ver un representación y funcionalidad en los partidos políticos  prefiere protestar por sus propios medios y reivindicar sus peticiones de manera directa.</w:t>
      </w:r>
    </w:p>
    <w:p w14:paraId="30AF4098" w14:textId="6620A707" w:rsidR="00E67DE9" w:rsidRDefault="003B07B6" w:rsidP="00CF2632">
      <w:r>
        <w:t>En cuanto  a los fundamentos institucionales</w:t>
      </w:r>
      <w:r w:rsidR="0052545E">
        <w:t>,</w:t>
      </w:r>
      <w:r>
        <w:t xml:space="preserve">  Costa Rica se caracteriza por t</w:t>
      </w:r>
      <w:r w:rsidR="0052545E">
        <w:t>ener  una gran complejidad  ins</w:t>
      </w:r>
      <w:r>
        <w:t>t</w:t>
      </w:r>
      <w:r w:rsidR="0052545E">
        <w:t>it</w:t>
      </w:r>
      <w:r>
        <w:t>ucional es decir existen muchas instituciones para llevar acabo política pública</w:t>
      </w:r>
      <w:r w:rsidR="0052545E">
        <w:t>;</w:t>
      </w:r>
      <w:r>
        <w:t xml:space="preserve"> sin embargo </w:t>
      </w:r>
      <w:r w:rsidR="0052545E">
        <w:t>tienen  poca capacidad de conducción por parte del Gobierno Central.   Esto se debe principalmente a que ningún actor contrala a cabalidad el aparato institucional ya que hay muchos grupos sociales en la conducción de ciertas instituciones.  Además, existe una gran capilaridad de instituciones que recorre el tejido nacional haciendo la conducción por un solo actor político muy complicada. Por último, debido a que muchas de estas  instituciones  tienen recursos propios  el Gobierno no puede incidir directamente  en sus decisiones ya que este no determina su presupuesto sino que viene  definido por ley.</w:t>
      </w:r>
    </w:p>
    <w:p w14:paraId="2C666F04" w14:textId="5F99F7F1" w:rsidR="00B126F5" w:rsidRDefault="00B126F5" w:rsidP="00CF2632">
      <w:r>
        <w:t xml:space="preserve"> A manera de conclusión el Dr. </w:t>
      </w:r>
      <w:proofErr w:type="spellStart"/>
      <w:r>
        <w:t>Cullel</w:t>
      </w:r>
      <w:proofErr w:type="spellEnd"/>
      <w:r>
        <w:t xml:space="preserve"> cree que en  este escenario  la política no pasa por la dicotomía izquierda y derecha sino que  el tema principal es de Gobernar .  El tema complicado de  poder gobernar eficazmente pasa por  que en el país se quebró el mecanismo  de representación social así como el de ejecución.  Ante este contexto es poco probable observar  acuerdos políticos sobre temas de fondo ya que más fácil es que aparezcan conflictos entre los actores políticos antes que la cooperación.</w:t>
      </w:r>
    </w:p>
    <w:p w14:paraId="5F106B1C" w14:textId="16546793" w:rsidR="000E7E1C" w:rsidRPr="00933B87" w:rsidRDefault="000E7E1C" w:rsidP="000E7E1C">
      <w:r w:rsidRPr="000E7E1C">
        <w:rPr>
          <w:b/>
        </w:rPr>
        <w:t>La última charla estuvo a cargo del MSc. Eduardo Prado</w:t>
      </w:r>
      <w:r>
        <w:t>, la misma  inició</w:t>
      </w:r>
      <w:r w:rsidRPr="00933B87">
        <w:t xml:space="preserve"> con una revisión de lo que sucedió económicamente en el país y a nivel internacional </w:t>
      </w:r>
      <w:r>
        <w:t>durante el</w:t>
      </w:r>
      <w:r w:rsidRPr="00933B87">
        <w:t xml:space="preserve"> 2015, seguidamente los resultados y las medidas en el primer semestre de</w:t>
      </w:r>
      <w:r>
        <w:t>l</w:t>
      </w:r>
      <w:r w:rsidRPr="00933B87">
        <w:t xml:space="preserve"> 2015, y finalmente las proyecciones por parte del BCCR. INDICA</w:t>
      </w:r>
    </w:p>
    <w:p w14:paraId="13A6D8B3" w14:textId="77777777" w:rsidR="000E7E1C" w:rsidRPr="00933B87" w:rsidRDefault="000E7E1C" w:rsidP="000E7E1C">
      <w:pPr>
        <w:rPr>
          <w:b/>
        </w:rPr>
      </w:pPr>
      <w:r w:rsidRPr="00933B87">
        <w:rPr>
          <w:b/>
        </w:rPr>
        <w:t>Contexto Internacional:</w:t>
      </w:r>
    </w:p>
    <w:p w14:paraId="1B167E2F" w14:textId="77777777" w:rsidR="000E7E1C" w:rsidRPr="00933B87" w:rsidRDefault="000E7E1C" w:rsidP="000E7E1C">
      <w:r w:rsidRPr="00933B87">
        <w:t xml:space="preserve">El contexto internacional está marcado principalmente por una eventual normalización de la política Monetaria de Estados Unidos. </w:t>
      </w:r>
    </w:p>
    <w:p w14:paraId="418FD9A1" w14:textId="77777777" w:rsidR="000E7E1C" w:rsidRPr="00933B87" w:rsidRDefault="000E7E1C" w:rsidP="000E7E1C">
      <w:r w:rsidRPr="00933B87">
        <w:t xml:space="preserve">Producto de la crisis financiera los Banco Centrales externos optaron por políticas monetarias expansivas, con ajustes en las tasas de interés hacia la baja.  Otras medidas adoptadas no tradicionales, fueron la compra de activos a gran escala y el forward </w:t>
      </w:r>
      <w:proofErr w:type="spellStart"/>
      <w:r w:rsidRPr="00933B87">
        <w:t>guidance</w:t>
      </w:r>
      <w:proofErr w:type="spellEnd"/>
      <w:r w:rsidRPr="00933B87">
        <w:t xml:space="preserve"> </w:t>
      </w:r>
      <w:r w:rsidRPr="00933B87">
        <w:rPr>
          <w:rStyle w:val="FootnoteReference"/>
        </w:rPr>
        <w:footnoteReference w:id="2"/>
      </w:r>
      <w:r w:rsidRPr="00933B87">
        <w:t>.  Sin embargo, E.E.U.U ha ido abandonando dicha política de guía sobre sus decisiones de política, debido a que ya ha ido alcanzando sus objetivos de reducir el desempleo y la meta de inflación de alrededor un 2 por ciento.</w:t>
      </w:r>
    </w:p>
    <w:p w14:paraId="10DD8B65" w14:textId="7C170D55" w:rsidR="000E7E1C" w:rsidRPr="00933B87" w:rsidRDefault="000E7E1C" w:rsidP="000E7E1C">
      <w:r w:rsidRPr="00933B87">
        <w:t>Existe mucha incertidumbre alrededor de cuando iniciara Estados Unidos con su política monetaria restrictiva, y como reaccionarán las demás economías ante esto, lo que dependería de que tan rápido  se efectúen y de la magnitud de dichos ajustes.</w:t>
      </w:r>
    </w:p>
    <w:p w14:paraId="1E3949DB" w14:textId="77777777" w:rsidR="000E7E1C" w:rsidRPr="00933B87" w:rsidRDefault="000E7E1C" w:rsidP="000E7E1C">
      <w:pPr>
        <w:jc w:val="center"/>
      </w:pPr>
      <w:r w:rsidRPr="00933B87">
        <w:rPr>
          <w:noProof/>
          <w:lang w:val="en-US" w:eastAsia="en-US"/>
        </w:rPr>
        <w:drawing>
          <wp:inline distT="0" distB="0" distL="0" distR="0" wp14:anchorId="3189EC4F" wp14:editId="133B54DD">
            <wp:extent cx="4427492" cy="2751073"/>
            <wp:effectExtent l="0" t="0" r="0" b="0"/>
            <wp:docPr id="4" name="Imagen 1" descr="Macintosh HD:Users:yerinunezpicado:Desktop:Screen Shot 2015-08-10 at 11.07.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erinunezpicado:Desktop:Screen Shot 2015-08-10 at 11.07.23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8167" cy="2751493"/>
                    </a:xfrm>
                    <a:prstGeom prst="rect">
                      <a:avLst/>
                    </a:prstGeom>
                    <a:noFill/>
                    <a:ln>
                      <a:noFill/>
                    </a:ln>
                  </pic:spPr>
                </pic:pic>
              </a:graphicData>
            </a:graphic>
          </wp:inline>
        </w:drawing>
      </w:r>
    </w:p>
    <w:p w14:paraId="16D317D3" w14:textId="77777777" w:rsidR="000E7E1C" w:rsidRPr="00933B87" w:rsidRDefault="000E7E1C" w:rsidP="000E7E1C"/>
    <w:p w14:paraId="3B45B525"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Estados Unidos crece moderadamente, se recupera.</w:t>
      </w:r>
    </w:p>
    <w:p w14:paraId="7C432ED2"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China con un crecimiento moderado en comparación a su crecimiento pasado.</w:t>
      </w:r>
    </w:p>
    <w:p w14:paraId="38681B16"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Zona Euro con leve recuperación, buscando resolver problemas internos.</w:t>
      </w:r>
    </w:p>
    <w:p w14:paraId="0CE3EAF2"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Inflación mundial baja con menores precios en materias primas (incluido el petróleo).</w:t>
      </w:r>
    </w:p>
    <w:p w14:paraId="1EB8F220"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Mercados financieros con episodios de volatilidad ante cualquier cambio asociados a cambios en el precio del petróleo y más recientemente a la situación en Grecia.</w:t>
      </w:r>
    </w:p>
    <w:p w14:paraId="382D6F8C"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Crecimiento mundial promedio del 3 por ciento 2014-2015 y 3,4 por ciento 2016.</w:t>
      </w:r>
    </w:p>
    <w:p w14:paraId="421D10FF"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Latino América con un crecimiento bajo.</w:t>
      </w:r>
    </w:p>
    <w:p w14:paraId="7021D6E2"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Tasas internacionales bajas, cercanas  a cero.</w:t>
      </w:r>
    </w:p>
    <w:p w14:paraId="5D3D8A8B"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Precios en las materias primas con volatilidad, hacia la baja.</w:t>
      </w:r>
    </w:p>
    <w:p w14:paraId="1CF8ECCF" w14:textId="77777777" w:rsidR="000E7E1C" w:rsidRPr="00933B87" w:rsidRDefault="000E7E1C" w:rsidP="000E7E1C">
      <w:pPr>
        <w:pStyle w:val="ListParagraph"/>
        <w:numPr>
          <w:ilvl w:val="0"/>
          <w:numId w:val="7"/>
        </w:numPr>
        <w:rPr>
          <w:rFonts w:asciiTheme="majorHAnsi" w:hAnsiTheme="majorHAnsi"/>
        </w:rPr>
      </w:pPr>
      <w:r w:rsidRPr="00933B87">
        <w:rPr>
          <w:rFonts w:asciiTheme="majorHAnsi" w:hAnsiTheme="majorHAnsi"/>
        </w:rPr>
        <w:t>Tipo de Cambios relativamente estables, y en economías avanzadas con depreciación importante.</w:t>
      </w:r>
    </w:p>
    <w:p w14:paraId="14A193C6" w14:textId="77777777" w:rsidR="000E7E1C" w:rsidRPr="00933B87" w:rsidRDefault="000E7E1C" w:rsidP="000E7E1C">
      <w:pPr>
        <w:ind w:left="360"/>
      </w:pPr>
    </w:p>
    <w:p w14:paraId="15AECCDA" w14:textId="77777777" w:rsidR="000E7E1C" w:rsidRPr="00933B87" w:rsidRDefault="000E7E1C" w:rsidP="000E7E1C">
      <w:pPr>
        <w:rPr>
          <w:b/>
        </w:rPr>
      </w:pPr>
      <w:r w:rsidRPr="00933B87">
        <w:rPr>
          <w:b/>
        </w:rPr>
        <w:t>Contexto Nacional:</w:t>
      </w:r>
    </w:p>
    <w:p w14:paraId="7FC8AF20" w14:textId="77777777" w:rsidR="000E7E1C" w:rsidRPr="00933B87" w:rsidRDefault="000E7E1C" w:rsidP="000E7E1C">
      <w:pPr>
        <w:rPr>
          <w:lang w:val="es-ES"/>
        </w:rPr>
      </w:pPr>
      <w:r w:rsidRPr="00933B87">
        <w:t xml:space="preserve">Existe una lenta transmisión de la TPM hacia el resto de tasas de la economía, en algunos casos toma de ocho a diez meses. Lenta convergencia de las expectativas  de inflación al rango meta, hasta abril de este año fue que las expectativas lograron ingresar dentro del rango meta.  Además, un alto grado de dolarización financiera, un </w:t>
      </w:r>
      <w:r w:rsidRPr="00933B87">
        <w:rPr>
          <w:lang w:val="es-ES"/>
        </w:rPr>
        <w:t>sistema financiero estable pero con estructura oligopólica, una economía con rigideces en diferentes mercados de bienes y servicios, un elevado desbalance fiscal que podría presionar tasas de interés y reducir la disponibilidad de financiamiento para el sector privado (“dominancia fiscal”), déficit financiero por parte del BCCR.</w:t>
      </w:r>
    </w:p>
    <w:p w14:paraId="20E35B49" w14:textId="77777777" w:rsidR="000E7E1C" w:rsidRPr="00933B87" w:rsidRDefault="000E7E1C" w:rsidP="000E7E1C">
      <w:pPr>
        <w:rPr>
          <w:lang w:val="es-ES"/>
        </w:rPr>
      </w:pPr>
      <w:r w:rsidRPr="00933B87">
        <w:rPr>
          <w:lang w:val="es-ES"/>
        </w:rPr>
        <w:t xml:space="preserve">Finalmente, una relativa abundancia de divisas, con superávit en el mercado privado. Contribuido también por la contratación de deuda externa del gobierno en los últimos cuatro años por cuatro mil millones de dólares, más unos tres mil millones de dólares del sistema financiero en la economía eso equivale a unos siete mil millones de dólares que   en aproximadamente 4-5 años han ingresado a la economía. </w:t>
      </w:r>
    </w:p>
    <w:p w14:paraId="09AC2FC8" w14:textId="77777777" w:rsidR="000E7E1C" w:rsidRPr="00933B87" w:rsidRDefault="000E7E1C" w:rsidP="000E7E1C">
      <w:pPr>
        <w:rPr>
          <w:b/>
          <w:lang w:val="es-ES"/>
        </w:rPr>
      </w:pPr>
      <w:r w:rsidRPr="00933B87">
        <w:rPr>
          <w:b/>
          <w:lang w:val="es-ES"/>
        </w:rPr>
        <w:t>Resultados primer semestre de 2015</w:t>
      </w:r>
    </w:p>
    <w:p w14:paraId="560CA967" w14:textId="3856D08C" w:rsidR="000E7E1C" w:rsidRPr="00933B87" w:rsidRDefault="000E7E1C" w:rsidP="00676A88">
      <w:pPr>
        <w:rPr>
          <w:lang w:val="es-ES"/>
        </w:rPr>
      </w:pPr>
      <w:r w:rsidRPr="00933B87">
        <w:rPr>
          <w:b/>
          <w:lang w:val="es-ES"/>
        </w:rPr>
        <w:t>Precios:</w:t>
      </w:r>
      <w:r w:rsidRPr="00933B87">
        <w:rPr>
          <w:lang w:val="es-ES"/>
        </w:rPr>
        <w:t xml:space="preserve"> Tasa de inflación interanual de 1,0% e indicadores de inflación</w:t>
      </w:r>
      <w:r w:rsidR="00676A88">
        <w:rPr>
          <w:lang w:val="es-ES"/>
        </w:rPr>
        <w:t xml:space="preserve"> </w:t>
      </w:r>
      <w:r w:rsidRPr="00933B87">
        <w:rPr>
          <w:lang w:val="es-ES"/>
        </w:rPr>
        <w:t>subyacente en 2,7% (promedio). Expectativas de inflación 12 meses 4,7%, valor modal 4,0%. Actividad económica: Crecimiento económico en torno a 2,5% (3,8% a jun-14), bajo el efecto de la industria electrónica de alta tecnología y algunos productos agrícolas.</w:t>
      </w:r>
      <w:r w:rsidRPr="00933B87">
        <w:rPr>
          <w:b/>
          <w:lang w:val="es-ES"/>
        </w:rPr>
        <w:t xml:space="preserve"> Balanza de Pagos:</w:t>
      </w:r>
      <w:r w:rsidRPr="00933B87">
        <w:rPr>
          <w:lang w:val="es-ES"/>
        </w:rPr>
        <w:t xml:space="preserve"> Déficit en cuenta corriente de 1,7% del PIB anual (2,4% a jun-14) bajo el efecto también de la industria electrónica de alta tecnología en donde las exportaciones superan a las importaciones, más un menor costo en las materias primas, explican la  reducción en el déficit para el primer semestre de 2015, el cual es financiado con capital de largo plazo (inversión extranjera directa).</w:t>
      </w:r>
    </w:p>
    <w:p w14:paraId="3ECBB719" w14:textId="77777777" w:rsidR="000E7E1C" w:rsidRPr="00933B87" w:rsidRDefault="000E7E1C" w:rsidP="000E7E1C">
      <w:pPr>
        <w:rPr>
          <w:lang w:val="es-ES"/>
        </w:rPr>
      </w:pPr>
      <w:r w:rsidRPr="00933B87">
        <w:rPr>
          <w:b/>
          <w:lang w:val="es-ES"/>
        </w:rPr>
        <w:t>Finanzas públicas:</w:t>
      </w:r>
      <w:r w:rsidRPr="00933B87">
        <w:rPr>
          <w:lang w:val="es-ES"/>
        </w:rPr>
        <w:t xml:space="preserve"> Déficit del Sector Público Global 2,6% del PIB anual (1,9% a jun-14). Déficit del Gobierno Central (2,8% del PIB), financiado en mayor medida con ahorro interno (bancario y sector privado) en un entorno en donde las tasas de interés han podido reducirse. Deuda total del Gobierno 40,4% del PIB (37,5% a jun-14) en donde en alrededor de un año se ha tenido tres puntos porcentuales del PIB en aumento de la deuda, relacionado al déficit primario.</w:t>
      </w:r>
    </w:p>
    <w:p w14:paraId="283C1C64" w14:textId="77777777" w:rsidR="000E7E1C" w:rsidRPr="00933B87" w:rsidRDefault="000E7E1C" w:rsidP="000E7E1C">
      <w:pPr>
        <w:rPr>
          <w:b/>
          <w:bCs/>
          <w:lang w:val="es-ES"/>
        </w:rPr>
      </w:pPr>
      <w:r w:rsidRPr="00933B87">
        <w:rPr>
          <w:b/>
          <w:bCs/>
          <w:lang w:val="es-ES"/>
        </w:rPr>
        <w:t xml:space="preserve">Tasas de interés: </w:t>
      </w:r>
      <w:r w:rsidRPr="00933B87">
        <w:rPr>
          <w:bCs/>
          <w:lang w:val="es-ES"/>
        </w:rPr>
        <w:t xml:space="preserve">Disponibilidad de liquidez en mercado financiero; tasa de interés promedio en el MIL por debajo de TPM. Desde septiembre de 2014 a la fecha en el MIL han habido alrededor de 250 mil millones de colones de exceso de liquidez. Además, el resto de tasas de interés del sistema financiero tienden a bajar, pero lentamente. </w:t>
      </w:r>
    </w:p>
    <w:p w14:paraId="2519E7CB" w14:textId="77777777" w:rsidR="000E7E1C" w:rsidRPr="00933B87" w:rsidRDefault="000E7E1C" w:rsidP="000E7E1C">
      <w:pPr>
        <w:rPr>
          <w:lang w:val="es-ES"/>
        </w:rPr>
      </w:pPr>
      <w:r w:rsidRPr="00933B87">
        <w:rPr>
          <w:b/>
          <w:bCs/>
          <w:lang w:val="es-ES"/>
        </w:rPr>
        <w:t xml:space="preserve"> Agregados monetarios y crédito: </w:t>
      </w:r>
      <w:r w:rsidRPr="00933B87">
        <w:rPr>
          <w:lang w:val="es-ES"/>
        </w:rPr>
        <w:t>Medios de pago crecieron acorde con la programación macroeconómica.  Inclusive, se debe observar el resultado de una menor inflación y un menor crecimiento económico a lo planteado en el programa macroeconómico, lo que indica que los medios de pagos han crecido más del indicador del crecimiento de la inflación que se había programado, lo que evidencia que la política monetaria no ha sido restrictiva.  Por otra parte, una participación relativa de moneda extranjera en el ahorro financiero y en el crédito relativamente estable; con una leve tendencia al alza en el caso del crédito.  Lo anterior, justificaría que los agentes opten por los créditos en dólares.</w:t>
      </w:r>
    </w:p>
    <w:p w14:paraId="6DDE2AD0" w14:textId="77777777" w:rsidR="000E7E1C" w:rsidRPr="00933B87" w:rsidRDefault="000E7E1C" w:rsidP="000E7E1C">
      <w:pPr>
        <w:rPr>
          <w:lang w:val="es-ES"/>
        </w:rPr>
      </w:pPr>
      <w:r w:rsidRPr="00933B87">
        <w:rPr>
          <w:b/>
          <w:bCs/>
          <w:lang w:val="es-ES"/>
        </w:rPr>
        <w:t xml:space="preserve">Mercado cambiario: </w:t>
      </w:r>
      <w:r w:rsidRPr="00933B87">
        <w:rPr>
          <w:lang w:val="es-ES"/>
        </w:rPr>
        <w:t xml:space="preserve">Relativa estabilidad del tipo de cambio. Superávit en ventanillas mayor al promedio histórico y menor demanda del sector público no bancario. </w:t>
      </w:r>
    </w:p>
    <w:p w14:paraId="25E39725" w14:textId="77777777" w:rsidR="000E7E1C" w:rsidRPr="00933B87" w:rsidRDefault="000E7E1C" w:rsidP="000E7E1C">
      <w:pPr>
        <w:rPr>
          <w:lang w:val="es-ES"/>
        </w:rPr>
      </w:pPr>
      <w:r w:rsidRPr="00933B87">
        <w:rPr>
          <w:lang w:val="es-ES"/>
        </w:rPr>
        <w:t>Los flujos de inversión directa sobrepasaron el déficit en cuenta corriente en 2014-2015, con un fortalecimiento en las reservas del Banco Central.</w:t>
      </w:r>
    </w:p>
    <w:p w14:paraId="15EED583" w14:textId="77777777" w:rsidR="000E7E1C" w:rsidRPr="00933B87" w:rsidRDefault="000E7E1C" w:rsidP="000E7E1C">
      <w:pPr>
        <w:rPr>
          <w:b/>
          <w:bCs/>
          <w:lang w:val="es-ES"/>
        </w:rPr>
      </w:pPr>
      <w:r w:rsidRPr="00933B87">
        <w:rPr>
          <w:b/>
          <w:bCs/>
          <w:lang w:val="es-ES"/>
        </w:rPr>
        <w:t xml:space="preserve">Medidas de política del BCCR en I sem-15 </w:t>
      </w:r>
      <w:r w:rsidRPr="00933B87">
        <w:rPr>
          <w:rStyle w:val="FootnoteReference"/>
          <w:b/>
          <w:bCs/>
          <w:lang w:val="es-ES"/>
        </w:rPr>
        <w:footnoteReference w:id="3"/>
      </w:r>
      <w:r w:rsidRPr="00933B87">
        <w:rPr>
          <w:b/>
          <w:bCs/>
          <w:lang w:val="es-ES"/>
        </w:rPr>
        <w:t xml:space="preserve"> </w:t>
      </w:r>
    </w:p>
    <w:p w14:paraId="0681B22C" w14:textId="77777777" w:rsidR="000E7E1C" w:rsidRPr="00933B87" w:rsidRDefault="000E7E1C" w:rsidP="000E7E1C">
      <w:pPr>
        <w:rPr>
          <w:lang w:val="es-ES"/>
        </w:rPr>
      </w:pPr>
    </w:p>
    <w:p w14:paraId="389D0293" w14:textId="77777777" w:rsidR="000E7E1C" w:rsidRPr="00933B87" w:rsidRDefault="000E7E1C" w:rsidP="000E7E1C">
      <w:pPr>
        <w:pStyle w:val="ListParagraph"/>
        <w:numPr>
          <w:ilvl w:val="0"/>
          <w:numId w:val="9"/>
        </w:numPr>
        <w:rPr>
          <w:rFonts w:asciiTheme="majorHAnsi" w:hAnsiTheme="majorHAnsi"/>
          <w:lang w:val="es-ES"/>
        </w:rPr>
      </w:pPr>
      <w:r w:rsidRPr="00933B87">
        <w:rPr>
          <w:rFonts w:asciiTheme="majorHAnsi" w:hAnsiTheme="majorHAnsi"/>
          <w:lang w:val="es-ES"/>
        </w:rPr>
        <w:t xml:space="preserve">Reducción de la Tasa de política monetaria (TPM) en 175 puntos base, con una transmisión hacia el resto de tasas de interés en colones gradual, la cual se estima que aun no ha concluido. </w:t>
      </w:r>
    </w:p>
    <w:p w14:paraId="7A788AE7" w14:textId="77777777" w:rsidR="000E7E1C" w:rsidRPr="00933B87" w:rsidRDefault="000E7E1C" w:rsidP="000E7E1C">
      <w:pPr>
        <w:pStyle w:val="ListParagraph"/>
        <w:numPr>
          <w:ilvl w:val="0"/>
          <w:numId w:val="9"/>
        </w:numPr>
        <w:rPr>
          <w:rFonts w:asciiTheme="majorHAnsi" w:hAnsiTheme="majorHAnsi"/>
          <w:lang w:val="es-ES"/>
        </w:rPr>
      </w:pPr>
      <w:r w:rsidRPr="00933B87">
        <w:rPr>
          <w:rFonts w:asciiTheme="majorHAnsi" w:hAnsiTheme="majorHAnsi"/>
          <w:lang w:val="es-ES"/>
        </w:rPr>
        <w:t>Modificación del Régimen Cambiario, de un esquema de banda cambiaria a flotación administrada.</w:t>
      </w:r>
    </w:p>
    <w:p w14:paraId="7D75C763" w14:textId="77777777" w:rsidR="000E7E1C" w:rsidRPr="00933B87" w:rsidRDefault="000E7E1C" w:rsidP="000E7E1C">
      <w:pPr>
        <w:pStyle w:val="ListParagraph"/>
        <w:numPr>
          <w:ilvl w:val="0"/>
          <w:numId w:val="9"/>
        </w:numPr>
        <w:rPr>
          <w:rFonts w:asciiTheme="majorHAnsi" w:hAnsiTheme="majorHAnsi"/>
          <w:lang w:val="es-ES"/>
        </w:rPr>
      </w:pPr>
      <w:r w:rsidRPr="00933B87">
        <w:rPr>
          <w:rFonts w:asciiTheme="majorHAnsi" w:hAnsiTheme="majorHAnsi"/>
          <w:lang w:val="es-ES"/>
        </w:rPr>
        <w:t>Programa de compra de Reservas (Blindaje), ante shock externos.  </w:t>
      </w:r>
    </w:p>
    <w:p w14:paraId="2A6F0A64" w14:textId="77777777" w:rsidR="000E7E1C" w:rsidRPr="00933B87" w:rsidRDefault="000E7E1C" w:rsidP="000E7E1C">
      <w:pPr>
        <w:pStyle w:val="ListParagraph"/>
        <w:numPr>
          <w:ilvl w:val="0"/>
          <w:numId w:val="9"/>
        </w:numPr>
        <w:rPr>
          <w:rFonts w:asciiTheme="majorHAnsi" w:hAnsiTheme="majorHAnsi"/>
          <w:lang w:val="es-ES"/>
        </w:rPr>
      </w:pPr>
      <w:r w:rsidRPr="00933B87">
        <w:rPr>
          <w:rFonts w:asciiTheme="majorHAnsi" w:hAnsiTheme="majorHAnsi"/>
          <w:lang w:val="es-ES"/>
        </w:rPr>
        <w:t>Encaje marginal sobre el endeudamiento externo de largo plazo, complementado por las medidas del Conassif para mejorar la gestión de riesgo por parte de los intermediarios financieros.  </w:t>
      </w:r>
    </w:p>
    <w:p w14:paraId="0933E3F9" w14:textId="77777777" w:rsidR="00A37E06" w:rsidRDefault="00A37E06" w:rsidP="000E7E1C">
      <w:pPr>
        <w:rPr>
          <w:lang w:val="es-ES"/>
        </w:rPr>
      </w:pPr>
    </w:p>
    <w:p w14:paraId="26BD80A1" w14:textId="77777777" w:rsidR="00A37E06" w:rsidRDefault="00A37E06" w:rsidP="000E7E1C">
      <w:pPr>
        <w:rPr>
          <w:lang w:val="es-ES"/>
        </w:rPr>
      </w:pPr>
    </w:p>
    <w:p w14:paraId="4EFC6AAB" w14:textId="77777777" w:rsidR="00A37E06" w:rsidRDefault="00A37E06" w:rsidP="000E7E1C">
      <w:pPr>
        <w:rPr>
          <w:lang w:val="es-ES"/>
        </w:rPr>
      </w:pPr>
    </w:p>
    <w:p w14:paraId="4494F537" w14:textId="77777777" w:rsidR="00A37E06" w:rsidRDefault="00A37E06" w:rsidP="000E7E1C">
      <w:pPr>
        <w:rPr>
          <w:lang w:val="es-ES"/>
        </w:rPr>
      </w:pPr>
    </w:p>
    <w:p w14:paraId="32FD4C89" w14:textId="77777777" w:rsidR="003514FE" w:rsidRDefault="003514FE" w:rsidP="000E7E1C">
      <w:pPr>
        <w:rPr>
          <w:lang w:val="es-ES"/>
        </w:rPr>
      </w:pPr>
    </w:p>
    <w:p w14:paraId="3A6E0434" w14:textId="77777777" w:rsidR="003514FE" w:rsidRDefault="003514FE" w:rsidP="000E7E1C">
      <w:pPr>
        <w:rPr>
          <w:lang w:val="es-ES"/>
        </w:rPr>
      </w:pPr>
    </w:p>
    <w:p w14:paraId="29A40FF7" w14:textId="77777777" w:rsidR="003514FE" w:rsidRDefault="003514FE" w:rsidP="000E7E1C">
      <w:pPr>
        <w:rPr>
          <w:lang w:val="es-ES"/>
        </w:rPr>
      </w:pPr>
    </w:p>
    <w:p w14:paraId="16053EBD" w14:textId="77777777" w:rsidR="003514FE" w:rsidRDefault="003514FE" w:rsidP="000E7E1C">
      <w:pPr>
        <w:rPr>
          <w:lang w:val="es-ES"/>
        </w:rPr>
      </w:pPr>
    </w:p>
    <w:p w14:paraId="6244A17D" w14:textId="77777777" w:rsidR="003514FE" w:rsidRDefault="003514FE" w:rsidP="000E7E1C">
      <w:pPr>
        <w:rPr>
          <w:lang w:val="es-ES"/>
        </w:rPr>
      </w:pPr>
    </w:p>
    <w:p w14:paraId="7DF42786" w14:textId="77777777" w:rsidR="003514FE" w:rsidRDefault="003514FE" w:rsidP="000E7E1C">
      <w:pPr>
        <w:rPr>
          <w:lang w:val="es-ES"/>
        </w:rPr>
      </w:pPr>
    </w:p>
    <w:p w14:paraId="1A9D4E32" w14:textId="77777777" w:rsidR="003514FE" w:rsidRDefault="003514FE" w:rsidP="000E7E1C">
      <w:pPr>
        <w:rPr>
          <w:lang w:val="es-ES"/>
        </w:rPr>
      </w:pPr>
    </w:p>
    <w:p w14:paraId="1FCD9A39" w14:textId="77777777" w:rsidR="003514FE" w:rsidRDefault="003514FE" w:rsidP="000E7E1C">
      <w:pPr>
        <w:rPr>
          <w:lang w:val="es-ES"/>
        </w:rPr>
      </w:pPr>
    </w:p>
    <w:p w14:paraId="2DA2502E" w14:textId="77777777" w:rsidR="003514FE" w:rsidRDefault="003514FE" w:rsidP="000E7E1C">
      <w:pPr>
        <w:rPr>
          <w:lang w:val="es-ES"/>
        </w:rPr>
      </w:pPr>
    </w:p>
    <w:p w14:paraId="46EAB586" w14:textId="77777777" w:rsidR="003514FE" w:rsidRDefault="003514FE" w:rsidP="000E7E1C">
      <w:pPr>
        <w:rPr>
          <w:lang w:val="es-ES"/>
        </w:rPr>
      </w:pPr>
    </w:p>
    <w:p w14:paraId="3542B417" w14:textId="77777777" w:rsidR="003514FE" w:rsidRDefault="003514FE" w:rsidP="000E7E1C">
      <w:pPr>
        <w:rPr>
          <w:lang w:val="es-ES"/>
        </w:rPr>
      </w:pPr>
    </w:p>
    <w:p w14:paraId="69DD817C" w14:textId="77777777" w:rsidR="000E7E1C" w:rsidRPr="00933B87" w:rsidRDefault="000E7E1C" w:rsidP="000E7E1C">
      <w:pPr>
        <w:rPr>
          <w:b/>
          <w:lang w:val="es-ES"/>
        </w:rPr>
      </w:pPr>
      <w:r w:rsidRPr="00933B87">
        <w:rPr>
          <w:b/>
          <w:lang w:val="es-ES"/>
        </w:rPr>
        <w:t>Proyecciones 2015-2016:</w:t>
      </w:r>
    </w:p>
    <w:p w14:paraId="71BD6A4E" w14:textId="77777777" w:rsidR="000E7E1C" w:rsidRPr="00933B87" w:rsidRDefault="000E7E1C" w:rsidP="000E7E1C"/>
    <w:p w14:paraId="0AA420A2" w14:textId="77777777" w:rsidR="000E7E1C" w:rsidRPr="00933B87" w:rsidRDefault="000E7E1C" w:rsidP="000E7E1C"/>
    <w:p w14:paraId="5584A8B6" w14:textId="77777777" w:rsidR="000E7E1C" w:rsidRPr="00933B87" w:rsidRDefault="000E7E1C" w:rsidP="000E7E1C">
      <w:pPr>
        <w:jc w:val="center"/>
      </w:pPr>
      <w:r w:rsidRPr="00933B87">
        <w:rPr>
          <w:noProof/>
          <w:lang w:val="en-US" w:eastAsia="en-US"/>
        </w:rPr>
        <w:drawing>
          <wp:inline distT="0" distB="0" distL="0" distR="0" wp14:anchorId="663364AB" wp14:editId="5CA9F1C6">
            <wp:extent cx="4574449" cy="2682288"/>
            <wp:effectExtent l="0" t="0" r="0" b="10160"/>
            <wp:docPr id="11" name="Imagen 2" descr="Macintosh HD:Users:yerinunezpicado:Desktop:Screen Shot 2015-08-10 at 11.58.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erinunezpicado:Desktop:Screen Shot 2015-08-10 at 11.58.16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4449" cy="2682288"/>
                    </a:xfrm>
                    <a:prstGeom prst="rect">
                      <a:avLst/>
                    </a:prstGeom>
                    <a:noFill/>
                    <a:ln>
                      <a:noFill/>
                    </a:ln>
                  </pic:spPr>
                </pic:pic>
              </a:graphicData>
            </a:graphic>
          </wp:inline>
        </w:drawing>
      </w:r>
    </w:p>
    <w:p w14:paraId="5D49415B" w14:textId="77777777" w:rsidR="000E7E1C" w:rsidRPr="00933B87" w:rsidRDefault="000E7E1C" w:rsidP="000E7E1C">
      <w:pPr>
        <w:jc w:val="center"/>
      </w:pPr>
      <w:r w:rsidRPr="00933B87">
        <w:rPr>
          <w:noProof/>
          <w:lang w:val="en-US" w:eastAsia="en-US"/>
        </w:rPr>
        <w:drawing>
          <wp:inline distT="0" distB="0" distL="0" distR="0" wp14:anchorId="7EAD2A38" wp14:editId="543998C2">
            <wp:extent cx="4573368" cy="2282281"/>
            <wp:effectExtent l="0" t="0" r="0" b="3810"/>
            <wp:docPr id="12" name="Imagen 3" descr="Macintosh HD:Users:yerinunezpicado:Desktop:Screen Shot 2015-08-10 at 11.58.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erinunezpicado:Desktop:Screen Shot 2015-08-10 at 11.58.27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3368" cy="2282281"/>
                    </a:xfrm>
                    <a:prstGeom prst="rect">
                      <a:avLst/>
                    </a:prstGeom>
                    <a:noFill/>
                    <a:ln>
                      <a:noFill/>
                    </a:ln>
                  </pic:spPr>
                </pic:pic>
              </a:graphicData>
            </a:graphic>
          </wp:inline>
        </w:drawing>
      </w:r>
    </w:p>
    <w:p w14:paraId="5E5D27D5" w14:textId="77777777" w:rsidR="000E7E1C" w:rsidRPr="00933B87" w:rsidRDefault="000E7E1C" w:rsidP="000E7E1C"/>
    <w:p w14:paraId="36CE062C" w14:textId="77777777" w:rsidR="000E7E1C" w:rsidRPr="00933B87" w:rsidRDefault="000E7E1C" w:rsidP="000E7E1C">
      <w:pPr>
        <w:numPr>
          <w:ilvl w:val="0"/>
          <w:numId w:val="8"/>
        </w:numPr>
        <w:rPr>
          <w:lang w:val="es-ES"/>
        </w:rPr>
      </w:pPr>
      <w:r w:rsidRPr="00933B87">
        <w:rPr>
          <w:lang w:val="es-ES"/>
        </w:rPr>
        <w:t>1.  Mantiene la meta de inflación: 4% ± 1 p.p.  </w:t>
      </w:r>
    </w:p>
    <w:p w14:paraId="18CFA020" w14:textId="77777777" w:rsidR="000E7E1C" w:rsidRPr="00933B87" w:rsidRDefault="000E7E1C" w:rsidP="000E7E1C">
      <w:pPr>
        <w:numPr>
          <w:ilvl w:val="0"/>
          <w:numId w:val="8"/>
        </w:numPr>
        <w:rPr>
          <w:lang w:val="es-ES"/>
        </w:rPr>
      </w:pPr>
      <w:r w:rsidRPr="00933B87">
        <w:rPr>
          <w:lang w:val="es-ES"/>
        </w:rPr>
        <w:t xml:space="preserve">2.  Revisión a la baja del PIB para 2015 (de 3,4% a 2,8%) </w:t>
      </w:r>
      <w:r w:rsidRPr="00933B87">
        <w:rPr>
          <w:rStyle w:val="FootnoteReference"/>
          <w:lang w:val="es-ES"/>
        </w:rPr>
        <w:footnoteReference w:id="4"/>
      </w:r>
      <w:r w:rsidRPr="00933B87">
        <w:rPr>
          <w:lang w:val="es-ES"/>
        </w:rPr>
        <w:t>.</w:t>
      </w:r>
    </w:p>
    <w:p w14:paraId="703EB2CE" w14:textId="77777777" w:rsidR="000E7E1C" w:rsidRPr="00933B87" w:rsidRDefault="000E7E1C" w:rsidP="000E7E1C">
      <w:pPr>
        <w:numPr>
          <w:ilvl w:val="0"/>
          <w:numId w:val="8"/>
        </w:numPr>
        <w:rPr>
          <w:lang w:val="es-ES"/>
        </w:rPr>
      </w:pPr>
      <w:r w:rsidRPr="00933B87">
        <w:rPr>
          <w:lang w:val="es-ES"/>
        </w:rPr>
        <w:t>3.  Déficit en cuenta corriente ≈ 4% del PIB, financiado con capital de largo plazo (IED)  </w:t>
      </w:r>
    </w:p>
    <w:p w14:paraId="305E781B" w14:textId="77777777" w:rsidR="000E7E1C" w:rsidRPr="00933B87" w:rsidRDefault="000E7E1C" w:rsidP="000E7E1C">
      <w:pPr>
        <w:numPr>
          <w:ilvl w:val="0"/>
          <w:numId w:val="8"/>
        </w:numPr>
        <w:rPr>
          <w:lang w:val="es-ES"/>
        </w:rPr>
      </w:pPr>
      <w:r w:rsidRPr="00933B87">
        <w:rPr>
          <w:lang w:val="es-ES"/>
        </w:rPr>
        <w:t>4.  Déficit fiscal: 5,9% y 6,4% para 2015-2016.  </w:t>
      </w:r>
    </w:p>
    <w:p w14:paraId="3332739C" w14:textId="77777777" w:rsidR="000E7E1C" w:rsidRPr="00933B87" w:rsidRDefault="000E7E1C" w:rsidP="000E7E1C">
      <w:pPr>
        <w:numPr>
          <w:ilvl w:val="0"/>
          <w:numId w:val="8"/>
        </w:numPr>
      </w:pPr>
    </w:p>
    <w:p w14:paraId="4395A60F" w14:textId="77777777" w:rsidR="000E7E1C" w:rsidRPr="00F76042" w:rsidRDefault="000E7E1C" w:rsidP="00CF2632"/>
    <w:sectPr w:rsidR="000E7E1C" w:rsidRPr="00F76042" w:rsidSect="00C63C4F">
      <w:headerReference w:type="first" r:id="rId21"/>
      <w:pgSz w:w="12240" w:h="15840"/>
      <w:pgMar w:top="1417" w:right="1440" w:bottom="1417"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0EBE" w14:textId="77777777" w:rsidR="003514FE" w:rsidRDefault="003514FE" w:rsidP="00C63C4F">
      <w:r>
        <w:separator/>
      </w:r>
    </w:p>
  </w:endnote>
  <w:endnote w:type="continuationSeparator" w:id="0">
    <w:p w14:paraId="52241FD3" w14:textId="77777777" w:rsidR="003514FE" w:rsidRDefault="003514FE" w:rsidP="00C6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C8BB2" w14:textId="77777777" w:rsidR="003514FE" w:rsidRDefault="003514FE" w:rsidP="00C63C4F">
      <w:r>
        <w:separator/>
      </w:r>
    </w:p>
  </w:footnote>
  <w:footnote w:type="continuationSeparator" w:id="0">
    <w:p w14:paraId="10488074" w14:textId="77777777" w:rsidR="003514FE" w:rsidRDefault="003514FE" w:rsidP="00C63C4F">
      <w:r>
        <w:continuationSeparator/>
      </w:r>
    </w:p>
  </w:footnote>
  <w:footnote w:id="1">
    <w:p w14:paraId="3373F279" w14:textId="127FA4E4" w:rsidR="003514FE" w:rsidRDefault="003514FE">
      <w:pPr>
        <w:pStyle w:val="FootnoteText"/>
      </w:pPr>
      <w:r>
        <w:rPr>
          <w:rStyle w:val="FootnoteReference"/>
        </w:rPr>
        <w:footnoteRef/>
      </w:r>
      <w:r>
        <w:t xml:space="preserve"> Cuadro Estimación de las medidas fue elaborado por el Ministerio de Hacienda</w:t>
      </w:r>
    </w:p>
  </w:footnote>
  <w:footnote w:id="2">
    <w:p w14:paraId="40A63267" w14:textId="77777777" w:rsidR="003514FE" w:rsidRPr="000140A7" w:rsidRDefault="003514FE" w:rsidP="000E7E1C">
      <w:pPr>
        <w:pStyle w:val="FootnoteText"/>
        <w:rPr>
          <w:sz w:val="22"/>
          <w:szCs w:val="22"/>
        </w:rPr>
      </w:pPr>
      <w:r w:rsidRPr="000140A7">
        <w:rPr>
          <w:rStyle w:val="FootnoteReference"/>
          <w:sz w:val="22"/>
          <w:szCs w:val="22"/>
        </w:rPr>
        <w:footnoteRef/>
      </w:r>
      <w:r w:rsidRPr="000140A7">
        <w:rPr>
          <w:sz w:val="22"/>
          <w:szCs w:val="22"/>
        </w:rPr>
        <w:t xml:space="preserve"> </w:t>
      </w:r>
      <w:r w:rsidRPr="000140A7">
        <w:rPr>
          <w:sz w:val="22"/>
          <w:szCs w:val="22"/>
        </w:rPr>
        <w:t xml:space="preserve">Forward </w:t>
      </w:r>
      <w:proofErr w:type="spellStart"/>
      <w:r w:rsidRPr="000140A7">
        <w:rPr>
          <w:sz w:val="22"/>
          <w:szCs w:val="22"/>
        </w:rPr>
        <w:t>Guidance</w:t>
      </w:r>
      <w:proofErr w:type="spellEnd"/>
      <w:r w:rsidRPr="000140A7">
        <w:rPr>
          <w:sz w:val="22"/>
          <w:szCs w:val="22"/>
        </w:rPr>
        <w:t xml:space="preserve"> es cuando el Banco Central le dice al público cuales son las medidas que esta tomando y cuando espera modificar esa política. </w:t>
      </w:r>
    </w:p>
  </w:footnote>
  <w:footnote w:id="3">
    <w:p w14:paraId="42E870C9" w14:textId="77777777" w:rsidR="003514FE" w:rsidRPr="000140A7" w:rsidRDefault="003514FE" w:rsidP="000E7E1C">
      <w:pPr>
        <w:pStyle w:val="FootnoteText"/>
        <w:rPr>
          <w:sz w:val="22"/>
          <w:szCs w:val="22"/>
        </w:rPr>
      </w:pPr>
      <w:r w:rsidRPr="000140A7">
        <w:rPr>
          <w:rStyle w:val="FootnoteReference"/>
          <w:sz w:val="22"/>
          <w:szCs w:val="22"/>
        </w:rPr>
        <w:footnoteRef/>
      </w:r>
      <w:r w:rsidRPr="000140A7">
        <w:rPr>
          <w:sz w:val="22"/>
          <w:szCs w:val="22"/>
        </w:rPr>
        <w:t xml:space="preserve"> </w:t>
      </w:r>
      <w:r w:rsidRPr="000140A7">
        <w:rPr>
          <w:sz w:val="22"/>
          <w:szCs w:val="22"/>
        </w:rPr>
        <w:t>Véase la presentación de Don Eduardo Prado expuesta en el PAE de Ecoanálisis de agosto 2015, perspectivas.</w:t>
      </w:r>
    </w:p>
  </w:footnote>
  <w:footnote w:id="4">
    <w:p w14:paraId="6A3BA0EA" w14:textId="77777777" w:rsidR="003514FE" w:rsidRPr="000140A7" w:rsidRDefault="003514FE" w:rsidP="000E7E1C">
      <w:pPr>
        <w:pStyle w:val="FootnoteText"/>
        <w:rPr>
          <w:sz w:val="22"/>
          <w:szCs w:val="22"/>
        </w:rPr>
      </w:pPr>
      <w:r w:rsidRPr="000140A7">
        <w:rPr>
          <w:rStyle w:val="FootnoteReference"/>
          <w:sz w:val="22"/>
          <w:szCs w:val="22"/>
        </w:rPr>
        <w:footnoteRef/>
      </w:r>
      <w:r w:rsidRPr="000140A7">
        <w:rPr>
          <w:sz w:val="22"/>
          <w:szCs w:val="22"/>
        </w:rPr>
        <w:t xml:space="preserve"> </w:t>
      </w:r>
      <w:r w:rsidRPr="000140A7">
        <w:rPr>
          <w:sz w:val="22"/>
          <w:szCs w:val="22"/>
        </w:rPr>
        <w:t>Justificado en que la industria y la agricultura mejoran para el 2016, la industria se estima que vuelva a su aporte regular al crecimiento económico de 0.8 ya que en el presente año casi no esta aportando. La agricultura pasar</w:t>
      </w:r>
      <w:r>
        <w:rPr>
          <w:sz w:val="22"/>
          <w:szCs w:val="22"/>
        </w:rPr>
        <w:t>í</w:t>
      </w:r>
      <w:r w:rsidRPr="000140A7">
        <w:rPr>
          <w:sz w:val="22"/>
          <w:szCs w:val="22"/>
        </w:rPr>
        <w:t>a a un 0.2</w:t>
      </w:r>
      <w:r>
        <w:rPr>
          <w:sz w:val="22"/>
          <w:szCs w:val="22"/>
        </w:rPr>
        <w:t xml:space="preserve"> positivo de aporte en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2D438" w14:textId="603C693B" w:rsidR="003514FE" w:rsidRDefault="003514FE">
    <w:pPr>
      <w:pStyle w:val="Header"/>
      <w:tabs>
        <w:tab w:val="clear" w:pos="4320"/>
        <w:tab w:val="clear" w:pos="8640"/>
        <w:tab w:val="right" w:pos="9720"/>
      </w:tabs>
      <w:ind w:left="-360"/>
      <w:rPr>
        <w:sz w:val="36"/>
        <w:szCs w:val="36"/>
      </w:rPr>
    </w:pPr>
    <w:bookmarkStart w:id="1" w:name="_WNSectionTitle"/>
    <w:bookmarkStart w:id="2" w:name="_WNTabType_0"/>
    <w:r>
      <w:rPr>
        <w:sz w:val="36"/>
        <w:szCs w:val="36"/>
      </w:rPr>
      <w:tab/>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D81FE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D5181"/>
    <w:multiLevelType w:val="hybridMultilevel"/>
    <w:tmpl w:val="10BA2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6C2A29"/>
    <w:multiLevelType w:val="hybridMultilevel"/>
    <w:tmpl w:val="5802D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8C61C5"/>
    <w:multiLevelType w:val="hybridMultilevel"/>
    <w:tmpl w:val="FCC6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B2BF8"/>
    <w:multiLevelType w:val="hybridMultilevel"/>
    <w:tmpl w:val="FC366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306AD1"/>
    <w:multiLevelType w:val="hybridMultilevel"/>
    <w:tmpl w:val="3C8C122C"/>
    <w:lvl w:ilvl="0" w:tplc="77883866">
      <w:start w:val="1"/>
      <w:numFmt w:val="bullet"/>
      <w:lvlText w:val=""/>
      <w:lvlJc w:val="left"/>
      <w:pPr>
        <w:tabs>
          <w:tab w:val="num" w:pos="720"/>
        </w:tabs>
        <w:ind w:left="720" w:hanging="360"/>
      </w:pPr>
      <w:rPr>
        <w:rFonts w:ascii="Wingdings 2" w:hAnsi="Wingdings 2" w:hint="default"/>
      </w:rPr>
    </w:lvl>
    <w:lvl w:ilvl="1" w:tplc="EF48642E" w:tentative="1">
      <w:start w:val="1"/>
      <w:numFmt w:val="bullet"/>
      <w:lvlText w:val=""/>
      <w:lvlJc w:val="left"/>
      <w:pPr>
        <w:tabs>
          <w:tab w:val="num" w:pos="1440"/>
        </w:tabs>
        <w:ind w:left="1440" w:hanging="360"/>
      </w:pPr>
      <w:rPr>
        <w:rFonts w:ascii="Wingdings 2" w:hAnsi="Wingdings 2" w:hint="default"/>
      </w:rPr>
    </w:lvl>
    <w:lvl w:ilvl="2" w:tplc="D6B2F250" w:tentative="1">
      <w:start w:val="1"/>
      <w:numFmt w:val="bullet"/>
      <w:lvlText w:val=""/>
      <w:lvlJc w:val="left"/>
      <w:pPr>
        <w:tabs>
          <w:tab w:val="num" w:pos="2160"/>
        </w:tabs>
        <w:ind w:left="2160" w:hanging="360"/>
      </w:pPr>
      <w:rPr>
        <w:rFonts w:ascii="Wingdings 2" w:hAnsi="Wingdings 2" w:hint="default"/>
      </w:rPr>
    </w:lvl>
    <w:lvl w:ilvl="3" w:tplc="A1023FC4" w:tentative="1">
      <w:start w:val="1"/>
      <w:numFmt w:val="bullet"/>
      <w:lvlText w:val=""/>
      <w:lvlJc w:val="left"/>
      <w:pPr>
        <w:tabs>
          <w:tab w:val="num" w:pos="2880"/>
        </w:tabs>
        <w:ind w:left="2880" w:hanging="360"/>
      </w:pPr>
      <w:rPr>
        <w:rFonts w:ascii="Wingdings 2" w:hAnsi="Wingdings 2" w:hint="default"/>
      </w:rPr>
    </w:lvl>
    <w:lvl w:ilvl="4" w:tplc="8D9E6FF0" w:tentative="1">
      <w:start w:val="1"/>
      <w:numFmt w:val="bullet"/>
      <w:lvlText w:val=""/>
      <w:lvlJc w:val="left"/>
      <w:pPr>
        <w:tabs>
          <w:tab w:val="num" w:pos="3600"/>
        </w:tabs>
        <w:ind w:left="3600" w:hanging="360"/>
      </w:pPr>
      <w:rPr>
        <w:rFonts w:ascii="Wingdings 2" w:hAnsi="Wingdings 2" w:hint="default"/>
      </w:rPr>
    </w:lvl>
    <w:lvl w:ilvl="5" w:tplc="E7842EEC" w:tentative="1">
      <w:start w:val="1"/>
      <w:numFmt w:val="bullet"/>
      <w:lvlText w:val=""/>
      <w:lvlJc w:val="left"/>
      <w:pPr>
        <w:tabs>
          <w:tab w:val="num" w:pos="4320"/>
        </w:tabs>
        <w:ind w:left="4320" w:hanging="360"/>
      </w:pPr>
      <w:rPr>
        <w:rFonts w:ascii="Wingdings 2" w:hAnsi="Wingdings 2" w:hint="default"/>
      </w:rPr>
    </w:lvl>
    <w:lvl w:ilvl="6" w:tplc="63ECAD5E" w:tentative="1">
      <w:start w:val="1"/>
      <w:numFmt w:val="bullet"/>
      <w:lvlText w:val=""/>
      <w:lvlJc w:val="left"/>
      <w:pPr>
        <w:tabs>
          <w:tab w:val="num" w:pos="5040"/>
        </w:tabs>
        <w:ind w:left="5040" w:hanging="360"/>
      </w:pPr>
      <w:rPr>
        <w:rFonts w:ascii="Wingdings 2" w:hAnsi="Wingdings 2" w:hint="default"/>
      </w:rPr>
    </w:lvl>
    <w:lvl w:ilvl="7" w:tplc="8432DE2A" w:tentative="1">
      <w:start w:val="1"/>
      <w:numFmt w:val="bullet"/>
      <w:lvlText w:val=""/>
      <w:lvlJc w:val="left"/>
      <w:pPr>
        <w:tabs>
          <w:tab w:val="num" w:pos="5760"/>
        </w:tabs>
        <w:ind w:left="5760" w:hanging="360"/>
      </w:pPr>
      <w:rPr>
        <w:rFonts w:ascii="Wingdings 2" w:hAnsi="Wingdings 2" w:hint="default"/>
      </w:rPr>
    </w:lvl>
    <w:lvl w:ilvl="8" w:tplc="A4584970" w:tentative="1">
      <w:start w:val="1"/>
      <w:numFmt w:val="bullet"/>
      <w:lvlText w:val=""/>
      <w:lvlJc w:val="left"/>
      <w:pPr>
        <w:tabs>
          <w:tab w:val="num" w:pos="6480"/>
        </w:tabs>
        <w:ind w:left="6480" w:hanging="360"/>
      </w:pPr>
      <w:rPr>
        <w:rFonts w:ascii="Wingdings 2" w:hAnsi="Wingdings 2" w:hint="default"/>
      </w:rPr>
    </w:lvl>
  </w:abstractNum>
  <w:abstractNum w:abstractNumId="7">
    <w:nsid w:val="600B6233"/>
    <w:multiLevelType w:val="hybridMultilevel"/>
    <w:tmpl w:val="28A24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5C03F1"/>
    <w:multiLevelType w:val="hybridMultilevel"/>
    <w:tmpl w:val="E32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630305"/>
    <w:rsid w:val="000246DB"/>
    <w:rsid w:val="00026B51"/>
    <w:rsid w:val="00033A38"/>
    <w:rsid w:val="00076A06"/>
    <w:rsid w:val="000973C1"/>
    <w:rsid w:val="000B0592"/>
    <w:rsid w:val="000B1E55"/>
    <w:rsid w:val="000C5CF1"/>
    <w:rsid w:val="000E7E1C"/>
    <w:rsid w:val="0013391F"/>
    <w:rsid w:val="00137625"/>
    <w:rsid w:val="001510B8"/>
    <w:rsid w:val="00191C0F"/>
    <w:rsid w:val="001A4A14"/>
    <w:rsid w:val="001D7A8F"/>
    <w:rsid w:val="002A37C6"/>
    <w:rsid w:val="002D283B"/>
    <w:rsid w:val="002E30C3"/>
    <w:rsid w:val="002E7E25"/>
    <w:rsid w:val="002F404F"/>
    <w:rsid w:val="003467B4"/>
    <w:rsid w:val="003514FE"/>
    <w:rsid w:val="00387896"/>
    <w:rsid w:val="00396777"/>
    <w:rsid w:val="003A06B7"/>
    <w:rsid w:val="003A5A25"/>
    <w:rsid w:val="003A7ACD"/>
    <w:rsid w:val="003B07B6"/>
    <w:rsid w:val="003E21A1"/>
    <w:rsid w:val="004576CA"/>
    <w:rsid w:val="00475F47"/>
    <w:rsid w:val="004762A9"/>
    <w:rsid w:val="004A3EFF"/>
    <w:rsid w:val="004B7FA3"/>
    <w:rsid w:val="004D21A2"/>
    <w:rsid w:val="0052545E"/>
    <w:rsid w:val="00581DA9"/>
    <w:rsid w:val="005A051E"/>
    <w:rsid w:val="005B0BB3"/>
    <w:rsid w:val="005B3891"/>
    <w:rsid w:val="005B3B4C"/>
    <w:rsid w:val="005E6B1B"/>
    <w:rsid w:val="005F4437"/>
    <w:rsid w:val="005F6585"/>
    <w:rsid w:val="00614B02"/>
    <w:rsid w:val="00630305"/>
    <w:rsid w:val="00640608"/>
    <w:rsid w:val="00676A88"/>
    <w:rsid w:val="006A058E"/>
    <w:rsid w:val="006E0588"/>
    <w:rsid w:val="006E0D94"/>
    <w:rsid w:val="006F2F1B"/>
    <w:rsid w:val="00703EF9"/>
    <w:rsid w:val="00711239"/>
    <w:rsid w:val="007340E7"/>
    <w:rsid w:val="007604EF"/>
    <w:rsid w:val="007827D9"/>
    <w:rsid w:val="007A2855"/>
    <w:rsid w:val="007C6B13"/>
    <w:rsid w:val="007E4149"/>
    <w:rsid w:val="007E5ECE"/>
    <w:rsid w:val="0083539E"/>
    <w:rsid w:val="00860ED0"/>
    <w:rsid w:val="00860F66"/>
    <w:rsid w:val="008624D9"/>
    <w:rsid w:val="008770B3"/>
    <w:rsid w:val="00885473"/>
    <w:rsid w:val="00890792"/>
    <w:rsid w:val="00897D2A"/>
    <w:rsid w:val="008A1327"/>
    <w:rsid w:val="008A2C39"/>
    <w:rsid w:val="008B2A78"/>
    <w:rsid w:val="008E0C6C"/>
    <w:rsid w:val="00916C0F"/>
    <w:rsid w:val="00932CEA"/>
    <w:rsid w:val="0093385A"/>
    <w:rsid w:val="009A1822"/>
    <w:rsid w:val="009B6CEA"/>
    <w:rsid w:val="009D140A"/>
    <w:rsid w:val="00A37E06"/>
    <w:rsid w:val="00AE5512"/>
    <w:rsid w:val="00B126F5"/>
    <w:rsid w:val="00B30908"/>
    <w:rsid w:val="00B777EB"/>
    <w:rsid w:val="00B974CE"/>
    <w:rsid w:val="00BE42FF"/>
    <w:rsid w:val="00BF39FB"/>
    <w:rsid w:val="00C40BBB"/>
    <w:rsid w:val="00C63C4F"/>
    <w:rsid w:val="00C747E5"/>
    <w:rsid w:val="00C80B5B"/>
    <w:rsid w:val="00CA0928"/>
    <w:rsid w:val="00CD3705"/>
    <w:rsid w:val="00CE2D0B"/>
    <w:rsid w:val="00CF2632"/>
    <w:rsid w:val="00CF5A0E"/>
    <w:rsid w:val="00D056C8"/>
    <w:rsid w:val="00D5094E"/>
    <w:rsid w:val="00D6692F"/>
    <w:rsid w:val="00D66F19"/>
    <w:rsid w:val="00D93413"/>
    <w:rsid w:val="00D97A4E"/>
    <w:rsid w:val="00DD3D89"/>
    <w:rsid w:val="00DE2BEE"/>
    <w:rsid w:val="00DE731A"/>
    <w:rsid w:val="00DE7C59"/>
    <w:rsid w:val="00DF4FCE"/>
    <w:rsid w:val="00E10AD8"/>
    <w:rsid w:val="00E2160A"/>
    <w:rsid w:val="00E2692A"/>
    <w:rsid w:val="00E40EEE"/>
    <w:rsid w:val="00E618B1"/>
    <w:rsid w:val="00E67381"/>
    <w:rsid w:val="00E67DE9"/>
    <w:rsid w:val="00E777DA"/>
    <w:rsid w:val="00EB26E2"/>
    <w:rsid w:val="00EF091E"/>
    <w:rsid w:val="00F064AF"/>
    <w:rsid w:val="00F1783A"/>
    <w:rsid w:val="00F17A62"/>
    <w:rsid w:val="00F2388E"/>
    <w:rsid w:val="00F24BB7"/>
    <w:rsid w:val="00F3174C"/>
    <w:rsid w:val="00F41469"/>
    <w:rsid w:val="00F43351"/>
    <w:rsid w:val="00F76042"/>
    <w:rsid w:val="00F97A30"/>
    <w:rsid w:val="00FD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44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32"/>
    <w:pPr>
      <w:jc w:val="both"/>
    </w:pPr>
    <w:rPr>
      <w:rFonts w:asciiTheme="majorHAnsi" w:hAnsiTheme="majorHAnsi"/>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08"/>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6E0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588"/>
    <w:rPr>
      <w:rFonts w:ascii="Lucida Grande" w:hAnsi="Lucida Grande" w:cs="Lucida Grande"/>
      <w:sz w:val="18"/>
      <w:szCs w:val="18"/>
    </w:rPr>
  </w:style>
  <w:style w:type="paragraph" w:styleId="NoteLevel1">
    <w:name w:val="Note Level 1"/>
    <w:basedOn w:val="Normal"/>
    <w:uiPriority w:val="99"/>
    <w:unhideWhenUsed/>
    <w:rsid w:val="00C63C4F"/>
    <w:pPr>
      <w:keepNext/>
      <w:numPr>
        <w:numId w:val="6"/>
      </w:numPr>
      <w:contextualSpacing/>
      <w:outlineLvl w:val="0"/>
    </w:pPr>
    <w:rPr>
      <w:rFonts w:ascii="Verdana" w:hAnsi="Verdana"/>
    </w:rPr>
  </w:style>
  <w:style w:type="paragraph" w:styleId="NoteLevel2">
    <w:name w:val="Note Level 2"/>
    <w:basedOn w:val="Normal"/>
    <w:uiPriority w:val="99"/>
    <w:semiHidden/>
    <w:unhideWhenUsed/>
    <w:rsid w:val="00C63C4F"/>
    <w:pPr>
      <w:keepNext/>
      <w:numPr>
        <w:ilvl w:val="1"/>
        <w:numId w:val="6"/>
      </w:numPr>
      <w:contextualSpacing/>
      <w:outlineLvl w:val="1"/>
    </w:pPr>
    <w:rPr>
      <w:rFonts w:ascii="Verdana" w:hAnsi="Verdana"/>
    </w:rPr>
  </w:style>
  <w:style w:type="paragraph" w:styleId="NoteLevel3">
    <w:name w:val="Note Level 3"/>
    <w:basedOn w:val="Normal"/>
    <w:uiPriority w:val="99"/>
    <w:semiHidden/>
    <w:unhideWhenUsed/>
    <w:rsid w:val="00C63C4F"/>
    <w:pPr>
      <w:keepNext/>
      <w:numPr>
        <w:ilvl w:val="2"/>
        <w:numId w:val="6"/>
      </w:numPr>
      <w:contextualSpacing/>
      <w:outlineLvl w:val="2"/>
    </w:pPr>
    <w:rPr>
      <w:rFonts w:ascii="Verdana" w:hAnsi="Verdana"/>
    </w:rPr>
  </w:style>
  <w:style w:type="paragraph" w:styleId="NoteLevel4">
    <w:name w:val="Note Level 4"/>
    <w:basedOn w:val="Normal"/>
    <w:uiPriority w:val="99"/>
    <w:semiHidden/>
    <w:unhideWhenUsed/>
    <w:rsid w:val="00C63C4F"/>
    <w:pPr>
      <w:keepNext/>
      <w:numPr>
        <w:ilvl w:val="3"/>
        <w:numId w:val="6"/>
      </w:numPr>
      <w:contextualSpacing/>
      <w:outlineLvl w:val="3"/>
    </w:pPr>
    <w:rPr>
      <w:rFonts w:ascii="Verdana" w:hAnsi="Verdana"/>
    </w:rPr>
  </w:style>
  <w:style w:type="paragraph" w:styleId="NoteLevel5">
    <w:name w:val="Note Level 5"/>
    <w:basedOn w:val="Normal"/>
    <w:uiPriority w:val="99"/>
    <w:semiHidden/>
    <w:unhideWhenUsed/>
    <w:rsid w:val="00C63C4F"/>
    <w:pPr>
      <w:keepNext/>
      <w:numPr>
        <w:ilvl w:val="4"/>
        <w:numId w:val="6"/>
      </w:numPr>
      <w:contextualSpacing/>
      <w:outlineLvl w:val="4"/>
    </w:pPr>
    <w:rPr>
      <w:rFonts w:ascii="Verdana" w:hAnsi="Verdana"/>
    </w:rPr>
  </w:style>
  <w:style w:type="paragraph" w:styleId="NoteLevel6">
    <w:name w:val="Note Level 6"/>
    <w:basedOn w:val="Normal"/>
    <w:uiPriority w:val="99"/>
    <w:semiHidden/>
    <w:unhideWhenUsed/>
    <w:rsid w:val="00C63C4F"/>
    <w:pPr>
      <w:keepNext/>
      <w:numPr>
        <w:ilvl w:val="5"/>
        <w:numId w:val="6"/>
      </w:numPr>
      <w:contextualSpacing/>
      <w:outlineLvl w:val="5"/>
    </w:pPr>
    <w:rPr>
      <w:rFonts w:ascii="Verdana" w:hAnsi="Verdana"/>
    </w:rPr>
  </w:style>
  <w:style w:type="paragraph" w:styleId="NoteLevel7">
    <w:name w:val="Note Level 7"/>
    <w:basedOn w:val="Normal"/>
    <w:uiPriority w:val="99"/>
    <w:semiHidden/>
    <w:unhideWhenUsed/>
    <w:rsid w:val="00C63C4F"/>
    <w:pPr>
      <w:keepNext/>
      <w:numPr>
        <w:ilvl w:val="6"/>
        <w:numId w:val="6"/>
      </w:numPr>
      <w:contextualSpacing/>
      <w:outlineLvl w:val="6"/>
    </w:pPr>
    <w:rPr>
      <w:rFonts w:ascii="Verdana" w:hAnsi="Verdana"/>
    </w:rPr>
  </w:style>
  <w:style w:type="paragraph" w:styleId="NoteLevel8">
    <w:name w:val="Note Level 8"/>
    <w:basedOn w:val="Normal"/>
    <w:uiPriority w:val="99"/>
    <w:semiHidden/>
    <w:unhideWhenUsed/>
    <w:rsid w:val="00C63C4F"/>
    <w:pPr>
      <w:keepNext/>
      <w:numPr>
        <w:ilvl w:val="7"/>
        <w:numId w:val="6"/>
      </w:numPr>
      <w:contextualSpacing/>
      <w:outlineLvl w:val="7"/>
    </w:pPr>
    <w:rPr>
      <w:rFonts w:ascii="Verdana" w:hAnsi="Verdana"/>
    </w:rPr>
  </w:style>
  <w:style w:type="paragraph" w:styleId="NoteLevel9">
    <w:name w:val="Note Level 9"/>
    <w:basedOn w:val="Normal"/>
    <w:uiPriority w:val="99"/>
    <w:semiHidden/>
    <w:unhideWhenUsed/>
    <w:rsid w:val="00C63C4F"/>
    <w:pPr>
      <w:keepNext/>
      <w:numPr>
        <w:ilvl w:val="8"/>
        <w:numId w:val="6"/>
      </w:numPr>
      <w:contextualSpacing/>
      <w:outlineLvl w:val="8"/>
    </w:pPr>
    <w:rPr>
      <w:rFonts w:ascii="Verdana" w:hAnsi="Verdana"/>
    </w:rPr>
  </w:style>
  <w:style w:type="paragraph" w:styleId="Header">
    <w:name w:val="header"/>
    <w:basedOn w:val="Normal"/>
    <w:link w:val="HeaderChar"/>
    <w:uiPriority w:val="99"/>
    <w:unhideWhenUsed/>
    <w:rsid w:val="00C63C4F"/>
    <w:pPr>
      <w:tabs>
        <w:tab w:val="center" w:pos="4320"/>
        <w:tab w:val="right" w:pos="8640"/>
      </w:tabs>
    </w:pPr>
  </w:style>
  <w:style w:type="character" w:customStyle="1" w:styleId="HeaderChar">
    <w:name w:val="Header Char"/>
    <w:basedOn w:val="DefaultParagraphFont"/>
    <w:link w:val="Header"/>
    <w:uiPriority w:val="99"/>
    <w:rsid w:val="00C63C4F"/>
    <w:rPr>
      <w:lang w:val="es-ES_tradnl"/>
    </w:rPr>
  </w:style>
  <w:style w:type="paragraph" w:styleId="Footer">
    <w:name w:val="footer"/>
    <w:basedOn w:val="Normal"/>
    <w:link w:val="FooterChar"/>
    <w:uiPriority w:val="99"/>
    <w:unhideWhenUsed/>
    <w:rsid w:val="00703EF9"/>
    <w:pPr>
      <w:tabs>
        <w:tab w:val="center" w:pos="4320"/>
        <w:tab w:val="right" w:pos="8640"/>
      </w:tabs>
    </w:pPr>
  </w:style>
  <w:style w:type="character" w:customStyle="1" w:styleId="FooterChar">
    <w:name w:val="Footer Char"/>
    <w:basedOn w:val="DefaultParagraphFont"/>
    <w:link w:val="Footer"/>
    <w:uiPriority w:val="99"/>
    <w:rsid w:val="00703EF9"/>
    <w:rPr>
      <w:lang w:val="es-ES_tradnl"/>
    </w:rPr>
  </w:style>
  <w:style w:type="paragraph" w:styleId="FootnoteText">
    <w:name w:val="footnote text"/>
    <w:basedOn w:val="Normal"/>
    <w:link w:val="FootnoteTextChar"/>
    <w:uiPriority w:val="99"/>
    <w:unhideWhenUsed/>
    <w:rsid w:val="004576CA"/>
  </w:style>
  <w:style w:type="character" w:customStyle="1" w:styleId="FootnoteTextChar">
    <w:name w:val="Footnote Text Char"/>
    <w:basedOn w:val="DefaultParagraphFont"/>
    <w:link w:val="FootnoteText"/>
    <w:uiPriority w:val="99"/>
    <w:rsid w:val="004576CA"/>
    <w:rPr>
      <w:lang w:val="es-ES_tradnl"/>
    </w:rPr>
  </w:style>
  <w:style w:type="character" w:styleId="FootnoteReference">
    <w:name w:val="footnote reference"/>
    <w:basedOn w:val="DefaultParagraphFont"/>
    <w:uiPriority w:val="99"/>
    <w:unhideWhenUsed/>
    <w:rsid w:val="004576CA"/>
    <w:rPr>
      <w:vertAlign w:val="superscript"/>
    </w:rPr>
  </w:style>
  <w:style w:type="paragraph" w:styleId="NoSpacing">
    <w:name w:val="No Spacing"/>
    <w:uiPriority w:val="1"/>
    <w:qFormat/>
    <w:rsid w:val="00DD3D89"/>
    <w:pPr>
      <w:jc w:val="both"/>
    </w:pPr>
    <w:rPr>
      <w:rFonts w:ascii="Verdana" w:hAnsi="Verdana"/>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32"/>
    <w:pPr>
      <w:jc w:val="both"/>
    </w:pPr>
    <w:rPr>
      <w:rFonts w:asciiTheme="majorHAnsi" w:hAnsiTheme="majorHAnsi"/>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08"/>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6E0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588"/>
    <w:rPr>
      <w:rFonts w:ascii="Lucida Grande" w:hAnsi="Lucida Grande" w:cs="Lucida Grande"/>
      <w:sz w:val="18"/>
      <w:szCs w:val="18"/>
    </w:rPr>
  </w:style>
  <w:style w:type="paragraph" w:styleId="NoteLevel1">
    <w:name w:val="Note Level 1"/>
    <w:basedOn w:val="Normal"/>
    <w:uiPriority w:val="99"/>
    <w:unhideWhenUsed/>
    <w:rsid w:val="00C63C4F"/>
    <w:pPr>
      <w:keepNext/>
      <w:numPr>
        <w:numId w:val="6"/>
      </w:numPr>
      <w:contextualSpacing/>
      <w:outlineLvl w:val="0"/>
    </w:pPr>
    <w:rPr>
      <w:rFonts w:ascii="Verdana" w:hAnsi="Verdana"/>
    </w:rPr>
  </w:style>
  <w:style w:type="paragraph" w:styleId="NoteLevel2">
    <w:name w:val="Note Level 2"/>
    <w:basedOn w:val="Normal"/>
    <w:uiPriority w:val="99"/>
    <w:semiHidden/>
    <w:unhideWhenUsed/>
    <w:rsid w:val="00C63C4F"/>
    <w:pPr>
      <w:keepNext/>
      <w:numPr>
        <w:ilvl w:val="1"/>
        <w:numId w:val="6"/>
      </w:numPr>
      <w:contextualSpacing/>
      <w:outlineLvl w:val="1"/>
    </w:pPr>
    <w:rPr>
      <w:rFonts w:ascii="Verdana" w:hAnsi="Verdana"/>
    </w:rPr>
  </w:style>
  <w:style w:type="paragraph" w:styleId="NoteLevel3">
    <w:name w:val="Note Level 3"/>
    <w:basedOn w:val="Normal"/>
    <w:uiPriority w:val="99"/>
    <w:semiHidden/>
    <w:unhideWhenUsed/>
    <w:rsid w:val="00C63C4F"/>
    <w:pPr>
      <w:keepNext/>
      <w:numPr>
        <w:ilvl w:val="2"/>
        <w:numId w:val="6"/>
      </w:numPr>
      <w:contextualSpacing/>
      <w:outlineLvl w:val="2"/>
    </w:pPr>
    <w:rPr>
      <w:rFonts w:ascii="Verdana" w:hAnsi="Verdana"/>
    </w:rPr>
  </w:style>
  <w:style w:type="paragraph" w:styleId="NoteLevel4">
    <w:name w:val="Note Level 4"/>
    <w:basedOn w:val="Normal"/>
    <w:uiPriority w:val="99"/>
    <w:semiHidden/>
    <w:unhideWhenUsed/>
    <w:rsid w:val="00C63C4F"/>
    <w:pPr>
      <w:keepNext/>
      <w:numPr>
        <w:ilvl w:val="3"/>
        <w:numId w:val="6"/>
      </w:numPr>
      <w:contextualSpacing/>
      <w:outlineLvl w:val="3"/>
    </w:pPr>
    <w:rPr>
      <w:rFonts w:ascii="Verdana" w:hAnsi="Verdana"/>
    </w:rPr>
  </w:style>
  <w:style w:type="paragraph" w:styleId="NoteLevel5">
    <w:name w:val="Note Level 5"/>
    <w:basedOn w:val="Normal"/>
    <w:uiPriority w:val="99"/>
    <w:semiHidden/>
    <w:unhideWhenUsed/>
    <w:rsid w:val="00C63C4F"/>
    <w:pPr>
      <w:keepNext/>
      <w:numPr>
        <w:ilvl w:val="4"/>
        <w:numId w:val="6"/>
      </w:numPr>
      <w:contextualSpacing/>
      <w:outlineLvl w:val="4"/>
    </w:pPr>
    <w:rPr>
      <w:rFonts w:ascii="Verdana" w:hAnsi="Verdana"/>
    </w:rPr>
  </w:style>
  <w:style w:type="paragraph" w:styleId="NoteLevel6">
    <w:name w:val="Note Level 6"/>
    <w:basedOn w:val="Normal"/>
    <w:uiPriority w:val="99"/>
    <w:semiHidden/>
    <w:unhideWhenUsed/>
    <w:rsid w:val="00C63C4F"/>
    <w:pPr>
      <w:keepNext/>
      <w:numPr>
        <w:ilvl w:val="5"/>
        <w:numId w:val="6"/>
      </w:numPr>
      <w:contextualSpacing/>
      <w:outlineLvl w:val="5"/>
    </w:pPr>
    <w:rPr>
      <w:rFonts w:ascii="Verdana" w:hAnsi="Verdana"/>
    </w:rPr>
  </w:style>
  <w:style w:type="paragraph" w:styleId="NoteLevel7">
    <w:name w:val="Note Level 7"/>
    <w:basedOn w:val="Normal"/>
    <w:uiPriority w:val="99"/>
    <w:semiHidden/>
    <w:unhideWhenUsed/>
    <w:rsid w:val="00C63C4F"/>
    <w:pPr>
      <w:keepNext/>
      <w:numPr>
        <w:ilvl w:val="6"/>
        <w:numId w:val="6"/>
      </w:numPr>
      <w:contextualSpacing/>
      <w:outlineLvl w:val="6"/>
    </w:pPr>
    <w:rPr>
      <w:rFonts w:ascii="Verdana" w:hAnsi="Verdana"/>
    </w:rPr>
  </w:style>
  <w:style w:type="paragraph" w:styleId="NoteLevel8">
    <w:name w:val="Note Level 8"/>
    <w:basedOn w:val="Normal"/>
    <w:uiPriority w:val="99"/>
    <w:semiHidden/>
    <w:unhideWhenUsed/>
    <w:rsid w:val="00C63C4F"/>
    <w:pPr>
      <w:keepNext/>
      <w:numPr>
        <w:ilvl w:val="7"/>
        <w:numId w:val="6"/>
      </w:numPr>
      <w:contextualSpacing/>
      <w:outlineLvl w:val="7"/>
    </w:pPr>
    <w:rPr>
      <w:rFonts w:ascii="Verdana" w:hAnsi="Verdana"/>
    </w:rPr>
  </w:style>
  <w:style w:type="paragraph" w:styleId="NoteLevel9">
    <w:name w:val="Note Level 9"/>
    <w:basedOn w:val="Normal"/>
    <w:uiPriority w:val="99"/>
    <w:semiHidden/>
    <w:unhideWhenUsed/>
    <w:rsid w:val="00C63C4F"/>
    <w:pPr>
      <w:keepNext/>
      <w:numPr>
        <w:ilvl w:val="8"/>
        <w:numId w:val="6"/>
      </w:numPr>
      <w:contextualSpacing/>
      <w:outlineLvl w:val="8"/>
    </w:pPr>
    <w:rPr>
      <w:rFonts w:ascii="Verdana" w:hAnsi="Verdana"/>
    </w:rPr>
  </w:style>
  <w:style w:type="paragraph" w:styleId="Header">
    <w:name w:val="header"/>
    <w:basedOn w:val="Normal"/>
    <w:link w:val="HeaderChar"/>
    <w:uiPriority w:val="99"/>
    <w:unhideWhenUsed/>
    <w:rsid w:val="00C63C4F"/>
    <w:pPr>
      <w:tabs>
        <w:tab w:val="center" w:pos="4320"/>
        <w:tab w:val="right" w:pos="8640"/>
      </w:tabs>
    </w:pPr>
  </w:style>
  <w:style w:type="character" w:customStyle="1" w:styleId="HeaderChar">
    <w:name w:val="Header Char"/>
    <w:basedOn w:val="DefaultParagraphFont"/>
    <w:link w:val="Header"/>
    <w:uiPriority w:val="99"/>
    <w:rsid w:val="00C63C4F"/>
    <w:rPr>
      <w:lang w:val="es-ES_tradnl"/>
    </w:rPr>
  </w:style>
  <w:style w:type="paragraph" w:styleId="Footer">
    <w:name w:val="footer"/>
    <w:basedOn w:val="Normal"/>
    <w:link w:val="FooterChar"/>
    <w:uiPriority w:val="99"/>
    <w:unhideWhenUsed/>
    <w:rsid w:val="00703EF9"/>
    <w:pPr>
      <w:tabs>
        <w:tab w:val="center" w:pos="4320"/>
        <w:tab w:val="right" w:pos="8640"/>
      </w:tabs>
    </w:pPr>
  </w:style>
  <w:style w:type="character" w:customStyle="1" w:styleId="FooterChar">
    <w:name w:val="Footer Char"/>
    <w:basedOn w:val="DefaultParagraphFont"/>
    <w:link w:val="Footer"/>
    <w:uiPriority w:val="99"/>
    <w:rsid w:val="00703EF9"/>
    <w:rPr>
      <w:lang w:val="es-ES_tradnl"/>
    </w:rPr>
  </w:style>
  <w:style w:type="paragraph" w:styleId="FootnoteText">
    <w:name w:val="footnote text"/>
    <w:basedOn w:val="Normal"/>
    <w:link w:val="FootnoteTextChar"/>
    <w:uiPriority w:val="99"/>
    <w:unhideWhenUsed/>
    <w:rsid w:val="004576CA"/>
  </w:style>
  <w:style w:type="character" w:customStyle="1" w:styleId="FootnoteTextChar">
    <w:name w:val="Footnote Text Char"/>
    <w:basedOn w:val="DefaultParagraphFont"/>
    <w:link w:val="FootnoteText"/>
    <w:uiPriority w:val="99"/>
    <w:rsid w:val="004576CA"/>
    <w:rPr>
      <w:lang w:val="es-ES_tradnl"/>
    </w:rPr>
  </w:style>
  <w:style w:type="character" w:styleId="FootnoteReference">
    <w:name w:val="footnote reference"/>
    <w:basedOn w:val="DefaultParagraphFont"/>
    <w:uiPriority w:val="99"/>
    <w:unhideWhenUsed/>
    <w:rsid w:val="004576CA"/>
    <w:rPr>
      <w:vertAlign w:val="superscript"/>
    </w:rPr>
  </w:style>
  <w:style w:type="paragraph" w:styleId="NoSpacing">
    <w:name w:val="No Spacing"/>
    <w:uiPriority w:val="1"/>
    <w:qFormat/>
    <w:rsid w:val="00DD3D89"/>
    <w:pPr>
      <w:jc w:val="both"/>
    </w:pPr>
    <w:rPr>
      <w:rFonts w:ascii="Verdana" w:hAnsi="Verdan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08618">
      <w:bodyDiv w:val="1"/>
      <w:marLeft w:val="0"/>
      <w:marRight w:val="0"/>
      <w:marTop w:val="0"/>
      <w:marBottom w:val="0"/>
      <w:divBdr>
        <w:top w:val="none" w:sz="0" w:space="0" w:color="auto"/>
        <w:left w:val="none" w:sz="0" w:space="0" w:color="auto"/>
        <w:bottom w:val="none" w:sz="0" w:space="0" w:color="auto"/>
        <w:right w:val="none" w:sz="0" w:space="0" w:color="auto"/>
      </w:divBdr>
      <w:divsChild>
        <w:div w:id="1890342962">
          <w:marLeft w:val="360"/>
          <w:marRight w:val="0"/>
          <w:marTop w:val="360"/>
          <w:marBottom w:val="0"/>
          <w:divBdr>
            <w:top w:val="none" w:sz="0" w:space="0" w:color="auto"/>
            <w:left w:val="none" w:sz="0" w:space="0" w:color="auto"/>
            <w:bottom w:val="none" w:sz="0" w:space="0" w:color="auto"/>
            <w:right w:val="none" w:sz="0" w:space="0" w:color="auto"/>
          </w:divBdr>
        </w:div>
      </w:divsChild>
    </w:div>
    <w:div w:id="421872544">
      <w:bodyDiv w:val="1"/>
      <w:marLeft w:val="0"/>
      <w:marRight w:val="0"/>
      <w:marTop w:val="0"/>
      <w:marBottom w:val="0"/>
      <w:divBdr>
        <w:top w:val="none" w:sz="0" w:space="0" w:color="auto"/>
        <w:left w:val="none" w:sz="0" w:space="0" w:color="auto"/>
        <w:bottom w:val="none" w:sz="0" w:space="0" w:color="auto"/>
        <w:right w:val="none" w:sz="0" w:space="0" w:color="auto"/>
      </w:divBdr>
    </w:div>
    <w:div w:id="617031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jpg"/><Relationship Id="rId17" Type="http://schemas.openxmlformats.org/officeDocument/2006/relationships/image" Target="media/image9.emf"/><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88D8-D446-6047-8495-A7ECBE93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11</Pages>
  <Words>3335</Words>
  <Characters>19012</Characters>
  <Application>Microsoft Macintosh Word</Application>
  <DocSecurity>0</DocSecurity>
  <Lines>158</Lines>
  <Paragraphs>44</Paragraphs>
  <ScaleCrop>false</ScaleCrop>
  <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Personal</cp:lastModifiedBy>
  <cp:revision>45</cp:revision>
  <dcterms:created xsi:type="dcterms:W3CDTF">2015-08-06T21:33:00Z</dcterms:created>
  <dcterms:modified xsi:type="dcterms:W3CDTF">2015-08-12T15:56:00Z</dcterms:modified>
</cp:coreProperties>
</file>